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6D60" w14:textId="77777777" w:rsidR="00C2093F" w:rsidRDefault="009F744D" w:rsidP="004F451A">
      <w:pPr>
        <w:pStyle w:val="Titre1"/>
        <w:jc w:val="both"/>
        <w:rPr>
          <w:rFonts w:asciiTheme="minorHAnsi" w:hAnsiTheme="minorHAnsi"/>
          <w:sz w:val="32"/>
          <w:szCs w:val="32"/>
          <w:lang w:val="fr-FR"/>
        </w:rPr>
      </w:pPr>
      <w:r w:rsidRPr="004F451A">
        <w:rPr>
          <w:rFonts w:asciiTheme="minorHAnsi" w:hAnsiTheme="minorHAnsi"/>
          <w:sz w:val="32"/>
          <w:szCs w:val="32"/>
          <w:lang w:val="fr-FR"/>
        </w:rPr>
        <w:t>Appel à Manifestation d’Intérêt – Phase 2</w:t>
      </w:r>
    </w:p>
    <w:p w14:paraId="7B94F6A7" w14:textId="1DB69AD5" w:rsidR="00630401" w:rsidRPr="00630401" w:rsidRDefault="00630401" w:rsidP="00630401">
      <w:pPr>
        <w:rPr>
          <w:b/>
          <w:bCs/>
          <w:i/>
          <w:iCs/>
          <w:color w:val="0070C0"/>
          <w:lang w:val="fr-FR"/>
        </w:rPr>
      </w:pPr>
      <w:r w:rsidRPr="00630401">
        <w:rPr>
          <w:b/>
          <w:bCs/>
          <w:i/>
          <w:iCs/>
          <w:color w:val="0070C0"/>
          <w:lang w:val="fr-FR"/>
        </w:rPr>
        <w:t>Pratiques et expériences de la gouvernance de l’eau comme commun</w:t>
      </w:r>
      <w:r w:rsidR="00811231">
        <w:rPr>
          <w:b/>
          <w:bCs/>
          <w:i/>
          <w:iCs/>
          <w:color w:val="0070C0"/>
          <w:lang w:val="fr-FR"/>
        </w:rPr>
        <w:t xml:space="preserve"> socialement juste et</w:t>
      </w:r>
      <w:r w:rsidRPr="00630401">
        <w:rPr>
          <w:b/>
          <w:bCs/>
          <w:i/>
          <w:iCs/>
          <w:color w:val="0070C0"/>
          <w:lang w:val="fr-FR"/>
        </w:rPr>
        <w:t xml:space="preserve"> élargie au non-humain</w:t>
      </w:r>
    </w:p>
    <w:p w14:paraId="5572F555" w14:textId="77777777" w:rsidR="00C2093F" w:rsidRPr="004F451A" w:rsidRDefault="009F744D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PC7 – Gouvernance de l’eau comme commun</w:t>
      </w:r>
    </w:p>
    <w:p w14:paraId="363AA8A7" w14:textId="77777777" w:rsidR="00C2093F" w:rsidRPr="004F451A" w:rsidRDefault="009F744D" w:rsidP="004F451A">
      <w:p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>Programme exploratoire PEPR OneWater – Eau bien commun</w:t>
      </w:r>
    </w:p>
    <w:p w14:paraId="0364E24B" w14:textId="77777777" w:rsidR="004F451A" w:rsidRPr="004F451A" w:rsidRDefault="004F451A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Contexte</w:t>
      </w:r>
    </w:p>
    <w:p w14:paraId="5049FFA2" w14:textId="0C300A1D" w:rsidR="00C2093F" w:rsidRPr="004F451A" w:rsidRDefault="009F744D" w:rsidP="004F451A">
      <w:p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OneWater – Eau Bien Commun est un programme national de recherche sur l’eau douce continentale, </w:t>
      </w:r>
      <w:r w:rsidR="00160D24" w:rsidRPr="00160D24">
        <w:rPr>
          <w:sz w:val="24"/>
          <w:szCs w:val="24"/>
          <w:lang w:val="fr-FR"/>
        </w:rPr>
        <w:t>en France métropolitaine et dans les territoires ultra-marins</w:t>
      </w:r>
      <w:r w:rsidR="00160D24">
        <w:rPr>
          <w:sz w:val="24"/>
          <w:szCs w:val="24"/>
          <w:lang w:val="fr-FR"/>
        </w:rPr>
        <w:t xml:space="preserve">, </w:t>
      </w:r>
      <w:r w:rsidRPr="004F451A">
        <w:rPr>
          <w:sz w:val="24"/>
          <w:szCs w:val="24"/>
          <w:lang w:val="fr-FR"/>
        </w:rPr>
        <w:t xml:space="preserve">copiloté par le CNRS, le BRGM et INRAE, avec 10 partenaires académiques. Face aux pressions climatiques et anthropiques accrues sur l’environnement, ce programme vise à développer des recherches permettant de changer de paradigme et de réhabiliter l’eau comme commun. Financé à hauteur de 53 millions d’euros sur 10 ans par le Plan France 2030, OneWater – Eau Bien Commun </w:t>
      </w:r>
      <w:r w:rsidR="000474FC">
        <w:rPr>
          <w:sz w:val="24"/>
          <w:szCs w:val="24"/>
          <w:lang w:val="fr-FR"/>
        </w:rPr>
        <w:t>cherche à</w:t>
      </w:r>
      <w:r w:rsidRPr="004F451A">
        <w:rPr>
          <w:sz w:val="24"/>
          <w:szCs w:val="24"/>
          <w:lang w:val="fr-FR"/>
        </w:rPr>
        <w:t xml:space="preserve"> accélérer les transitions et à mesurer les impacts des changements globaux sur les socio-écosystèmes, à travers six grands défis. En renforçant le dialogue science-société, OneWater féd</w:t>
      </w:r>
      <w:r w:rsidR="005C253F">
        <w:rPr>
          <w:sz w:val="24"/>
          <w:szCs w:val="24"/>
          <w:lang w:val="fr-FR"/>
        </w:rPr>
        <w:t>è</w:t>
      </w:r>
      <w:r w:rsidRPr="004F451A">
        <w:rPr>
          <w:sz w:val="24"/>
          <w:szCs w:val="24"/>
          <w:lang w:val="fr-FR"/>
        </w:rPr>
        <w:t>re une « communauté eau » multi-acteurs, mobilisant chercheurs, décideurs, gestionnaires</w:t>
      </w:r>
      <w:r w:rsidR="00160D24">
        <w:rPr>
          <w:sz w:val="24"/>
          <w:szCs w:val="24"/>
          <w:lang w:val="fr-FR"/>
        </w:rPr>
        <w:t>, associations</w:t>
      </w:r>
      <w:r w:rsidRPr="004F451A">
        <w:rPr>
          <w:sz w:val="24"/>
          <w:szCs w:val="24"/>
          <w:lang w:val="fr-FR"/>
        </w:rPr>
        <w:t xml:space="preserve"> et citoyens.</w:t>
      </w:r>
    </w:p>
    <w:p w14:paraId="58B874D6" w14:textId="77777777" w:rsidR="009E0E36" w:rsidRDefault="004F451A" w:rsidP="004F451A">
      <w:p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>Le Projet Ciblé 7 (PC7) du PEPR OneWater vise à repenser la gouvernance de l’eau en la concevant comme un commun, au-delà de sa simple gestion en tant que ressource</w:t>
      </w:r>
      <w:r w:rsidR="005C253F">
        <w:rPr>
          <w:sz w:val="24"/>
          <w:szCs w:val="24"/>
          <w:lang w:val="fr-FR"/>
        </w:rPr>
        <w:t>, et en élargissant ce commun au vivant non-humain</w:t>
      </w:r>
      <w:r w:rsidRPr="004F451A">
        <w:rPr>
          <w:sz w:val="24"/>
          <w:szCs w:val="24"/>
          <w:lang w:val="fr-FR"/>
        </w:rPr>
        <w:t xml:space="preserve">. La première phase </w:t>
      </w:r>
      <w:r>
        <w:rPr>
          <w:sz w:val="24"/>
          <w:szCs w:val="24"/>
          <w:lang w:val="fr-FR"/>
        </w:rPr>
        <w:t xml:space="preserve">du PC7 </w:t>
      </w:r>
      <w:r w:rsidRPr="004F451A">
        <w:rPr>
          <w:sz w:val="24"/>
          <w:szCs w:val="24"/>
          <w:lang w:val="fr-FR"/>
        </w:rPr>
        <w:t xml:space="preserve">(2022–2025) </w:t>
      </w:r>
      <w:r w:rsidR="009B3B88">
        <w:rPr>
          <w:sz w:val="24"/>
          <w:szCs w:val="24"/>
          <w:lang w:val="fr-FR"/>
        </w:rPr>
        <w:t xml:space="preserve">a permis de </w:t>
      </w:r>
      <w:r w:rsidR="00160D24" w:rsidRPr="00160D24">
        <w:rPr>
          <w:sz w:val="24"/>
          <w:szCs w:val="24"/>
          <w:lang w:val="fr-FR"/>
        </w:rPr>
        <w:t>fédér</w:t>
      </w:r>
      <w:r w:rsidR="009B3B88">
        <w:rPr>
          <w:sz w:val="24"/>
          <w:szCs w:val="24"/>
          <w:lang w:val="fr-FR"/>
        </w:rPr>
        <w:t>er</w:t>
      </w:r>
      <w:r w:rsidR="00160D24" w:rsidRPr="00160D24">
        <w:rPr>
          <w:sz w:val="24"/>
          <w:szCs w:val="24"/>
          <w:lang w:val="fr-FR"/>
        </w:rPr>
        <w:t xml:space="preserve"> une communauté épistémique autour de ce projet, en France, et de poser les bases d’un cadre théorique et interdisciplinaire autour des communs du vivant, de la représentation des non-humains et des enjeux et outils de justice écologique et sociale de l’eau.</w:t>
      </w:r>
    </w:p>
    <w:p w14:paraId="41E0C005" w14:textId="2571BEDC" w:rsidR="004F451A" w:rsidRPr="004F451A" w:rsidRDefault="004F451A" w:rsidP="004F451A">
      <w:p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>La phase 2 (2026–203</w:t>
      </w:r>
      <w:r w:rsidR="00CD4B1C">
        <w:rPr>
          <w:sz w:val="24"/>
          <w:szCs w:val="24"/>
          <w:lang w:val="fr-FR"/>
        </w:rPr>
        <w:t>0</w:t>
      </w:r>
      <w:r w:rsidR="00CD4B1C">
        <w:rPr>
          <w:sz w:val="24"/>
          <w:szCs w:val="24"/>
          <w:lang w:val="fr-FR"/>
        </w:rPr>
        <w:t>)</w:t>
      </w:r>
      <w:r w:rsidRPr="004F451A">
        <w:rPr>
          <w:sz w:val="24"/>
          <w:szCs w:val="24"/>
          <w:lang w:val="fr-FR"/>
        </w:rPr>
        <w:t xml:space="preserve"> doit désormais </w:t>
      </w:r>
      <w:r w:rsidR="005C253F">
        <w:rPr>
          <w:sz w:val="24"/>
          <w:szCs w:val="24"/>
          <w:lang w:val="fr-FR"/>
        </w:rPr>
        <w:t xml:space="preserve">analyser, </w:t>
      </w:r>
      <w:r w:rsidR="00811231">
        <w:rPr>
          <w:sz w:val="24"/>
          <w:szCs w:val="24"/>
          <w:lang w:val="fr-FR"/>
        </w:rPr>
        <w:t xml:space="preserve">expérimenter et </w:t>
      </w:r>
      <w:r w:rsidRPr="004F451A">
        <w:rPr>
          <w:sz w:val="24"/>
          <w:szCs w:val="24"/>
          <w:lang w:val="fr-FR"/>
        </w:rPr>
        <w:t xml:space="preserve">évaluer dans des </w:t>
      </w:r>
      <w:r w:rsidRPr="004F451A">
        <w:rPr>
          <w:sz w:val="24"/>
          <w:szCs w:val="24"/>
          <w:lang w:val="fr-FR"/>
        </w:rPr>
        <w:t xml:space="preserve">territoires pilotes, des dispositifs de gouvernance </w:t>
      </w:r>
      <w:r w:rsidR="00160D24">
        <w:rPr>
          <w:sz w:val="24"/>
          <w:szCs w:val="24"/>
          <w:lang w:val="fr-FR"/>
        </w:rPr>
        <w:t xml:space="preserve">de l’eau </w:t>
      </w:r>
      <w:r w:rsidR="00811231">
        <w:rPr>
          <w:sz w:val="24"/>
          <w:szCs w:val="24"/>
          <w:lang w:val="fr-FR"/>
        </w:rPr>
        <w:t xml:space="preserve">adaptive et </w:t>
      </w:r>
      <w:r w:rsidRPr="004F451A">
        <w:rPr>
          <w:sz w:val="24"/>
          <w:szCs w:val="24"/>
          <w:lang w:val="fr-FR"/>
        </w:rPr>
        <w:t>inclusive</w:t>
      </w:r>
      <w:r w:rsidR="00811231">
        <w:rPr>
          <w:rStyle w:val="Appelnotedebasdep"/>
          <w:sz w:val="24"/>
          <w:szCs w:val="24"/>
          <w:lang w:val="fr-FR"/>
        </w:rPr>
        <w:footnoteReference w:id="1"/>
      </w:r>
      <w:r w:rsidRPr="004F451A">
        <w:rPr>
          <w:sz w:val="24"/>
          <w:szCs w:val="24"/>
          <w:lang w:val="fr-FR"/>
        </w:rPr>
        <w:t xml:space="preserve"> associant humains et non-humains, en intégrant </w:t>
      </w:r>
      <w:r w:rsidR="00502C17">
        <w:rPr>
          <w:sz w:val="24"/>
          <w:szCs w:val="24"/>
          <w:lang w:val="fr-FR"/>
        </w:rPr>
        <w:t>une diversité de</w:t>
      </w:r>
      <w:r w:rsidRPr="004F451A">
        <w:rPr>
          <w:sz w:val="24"/>
          <w:szCs w:val="24"/>
          <w:lang w:val="fr-FR"/>
        </w:rPr>
        <w:t xml:space="preserve"> savoirs académiques</w:t>
      </w:r>
      <w:r w:rsidR="00502C17">
        <w:rPr>
          <w:sz w:val="24"/>
          <w:szCs w:val="24"/>
          <w:lang w:val="fr-FR"/>
        </w:rPr>
        <w:t>, autochtones</w:t>
      </w:r>
      <w:r w:rsidRPr="004F451A">
        <w:rPr>
          <w:sz w:val="24"/>
          <w:szCs w:val="24"/>
          <w:lang w:val="fr-FR"/>
        </w:rPr>
        <w:t xml:space="preserve"> et pratiques</w:t>
      </w:r>
      <w:r w:rsidR="005249D5">
        <w:rPr>
          <w:sz w:val="24"/>
          <w:szCs w:val="24"/>
          <w:lang w:val="fr-FR"/>
        </w:rPr>
        <w:t xml:space="preserve">, </w:t>
      </w:r>
      <w:r w:rsidR="00502C17">
        <w:rPr>
          <w:sz w:val="24"/>
          <w:szCs w:val="24"/>
          <w:lang w:val="fr-FR"/>
        </w:rPr>
        <w:t>construits à différentes échelles territoriales</w:t>
      </w:r>
      <w:r w:rsidRPr="004F451A">
        <w:rPr>
          <w:sz w:val="24"/>
          <w:szCs w:val="24"/>
          <w:lang w:val="fr-FR"/>
        </w:rPr>
        <w:t>.</w:t>
      </w:r>
      <w:r w:rsidR="00811231">
        <w:rPr>
          <w:sz w:val="24"/>
          <w:szCs w:val="24"/>
          <w:lang w:val="fr-FR"/>
        </w:rPr>
        <w:t xml:space="preserve"> Elle doit aussi mettre en place les conditions de leur mobilisation au-delà de leur territoire de conception</w:t>
      </w:r>
      <w:r w:rsidR="009E0E36">
        <w:rPr>
          <w:sz w:val="24"/>
          <w:szCs w:val="24"/>
          <w:lang w:val="fr-FR"/>
        </w:rPr>
        <w:t xml:space="preserve"> et de </w:t>
      </w:r>
      <w:r w:rsidR="00811231">
        <w:rPr>
          <w:sz w:val="24"/>
          <w:szCs w:val="24"/>
          <w:lang w:val="fr-FR"/>
        </w:rPr>
        <w:t>mise au point.</w:t>
      </w:r>
      <w:r w:rsidR="007E0431">
        <w:rPr>
          <w:sz w:val="24"/>
          <w:szCs w:val="24"/>
          <w:lang w:val="fr-FR"/>
        </w:rPr>
        <w:t xml:space="preserve"> Une troisième phase en fin de PEPR viendra consolider l’ensemble des résultats produits </w:t>
      </w:r>
      <w:r w:rsidR="007E0431">
        <w:rPr>
          <w:sz w:val="24"/>
          <w:szCs w:val="24"/>
          <w:lang w:val="fr-FR"/>
        </w:rPr>
        <w:lastRenderedPageBreak/>
        <w:t>pour les valoriser, et notamment travailler leur transférabilité et leur transformation vers des situations opérationnelles.</w:t>
      </w:r>
    </w:p>
    <w:p w14:paraId="6633554F" w14:textId="4C62994A" w:rsidR="00C2093F" w:rsidRPr="004F451A" w:rsidRDefault="009F744D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Objectifs</w:t>
      </w:r>
      <w:r w:rsidR="009B3B88">
        <w:rPr>
          <w:rFonts w:asciiTheme="minorHAnsi" w:hAnsiTheme="minorHAnsi"/>
          <w:sz w:val="28"/>
          <w:szCs w:val="28"/>
          <w:lang w:val="fr-FR"/>
        </w:rPr>
        <w:t xml:space="preserve"> de la phase 2 </w:t>
      </w:r>
    </w:p>
    <w:p w14:paraId="603FF463" w14:textId="5A3DF838" w:rsidR="005249D5" w:rsidRDefault="009F744D" w:rsidP="005249D5">
      <w:pPr>
        <w:pStyle w:val="Paragraphedeliste"/>
        <w:numPr>
          <w:ilvl w:val="0"/>
          <w:numId w:val="11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>Développer et tester des protocoles territorialisés de gouvernance de l’eau comme commun</w:t>
      </w:r>
      <w:r w:rsidR="005249D5">
        <w:rPr>
          <w:sz w:val="24"/>
          <w:szCs w:val="24"/>
          <w:lang w:val="fr-FR"/>
        </w:rPr>
        <w:t> :</w:t>
      </w:r>
    </w:p>
    <w:p w14:paraId="666CAA11" w14:textId="79E5BB7B" w:rsidR="005249D5" w:rsidRDefault="00811231" w:rsidP="005249D5">
      <w:pPr>
        <w:pStyle w:val="Paragraphedeliste"/>
        <w:numPr>
          <w:ilvl w:val="1"/>
          <w:numId w:val="11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Conjuguant</w:t>
      </w:r>
      <w:r w:rsidR="005C253F" w:rsidRPr="00FE0835">
        <w:rPr>
          <w:color w:val="8064A2" w:themeColor="accent4"/>
          <w:sz w:val="24"/>
          <w:szCs w:val="24"/>
          <w:lang w:val="fr-FR"/>
        </w:rPr>
        <w:t xml:space="preserve"> </w:t>
      </w:r>
      <w:r w:rsidR="005C253F" w:rsidRPr="005249D5">
        <w:rPr>
          <w:sz w:val="24"/>
          <w:szCs w:val="24"/>
          <w:lang w:val="fr-FR"/>
        </w:rPr>
        <w:t>démocratie représentative et participative, justice sociale</w:t>
      </w:r>
      <w:r w:rsidR="007E0431">
        <w:rPr>
          <w:sz w:val="24"/>
          <w:szCs w:val="24"/>
          <w:lang w:val="fr-FR"/>
        </w:rPr>
        <w:t>,</w:t>
      </w:r>
      <w:r w:rsidR="005C253F" w:rsidRPr="005249D5">
        <w:rPr>
          <w:sz w:val="24"/>
          <w:szCs w:val="24"/>
          <w:lang w:val="fr-FR"/>
        </w:rPr>
        <w:t xml:space="preserve"> équité </w:t>
      </w:r>
      <w:r w:rsidR="005C253F" w:rsidRPr="005249D5">
        <w:rPr>
          <w:sz w:val="24"/>
          <w:szCs w:val="24"/>
          <w:lang w:val="fr-FR"/>
        </w:rPr>
        <w:t>environnementale</w:t>
      </w:r>
      <w:r w:rsidR="007E0431">
        <w:rPr>
          <w:sz w:val="24"/>
          <w:szCs w:val="24"/>
          <w:lang w:val="fr-FR"/>
        </w:rPr>
        <w:t xml:space="preserve"> et viabilité économique ;</w:t>
      </w:r>
    </w:p>
    <w:p w14:paraId="2DBAFC20" w14:textId="4320E839" w:rsidR="004F451A" w:rsidRPr="00630401" w:rsidRDefault="009F744D" w:rsidP="005249D5">
      <w:pPr>
        <w:pStyle w:val="Paragraphedeliste"/>
        <w:numPr>
          <w:ilvl w:val="1"/>
          <w:numId w:val="11"/>
        </w:numPr>
        <w:jc w:val="both"/>
        <w:rPr>
          <w:sz w:val="24"/>
          <w:szCs w:val="24"/>
          <w:lang w:val="fr-FR"/>
        </w:rPr>
      </w:pPr>
      <w:r w:rsidRPr="00630401">
        <w:rPr>
          <w:sz w:val="24"/>
          <w:szCs w:val="24"/>
          <w:lang w:val="fr-FR"/>
        </w:rPr>
        <w:t>Inclu</w:t>
      </w:r>
      <w:r w:rsidR="005249D5">
        <w:rPr>
          <w:sz w:val="24"/>
          <w:szCs w:val="24"/>
          <w:lang w:val="fr-FR"/>
        </w:rPr>
        <w:t>ant</w:t>
      </w:r>
      <w:r w:rsidRPr="00630401">
        <w:rPr>
          <w:sz w:val="24"/>
          <w:szCs w:val="24"/>
          <w:lang w:val="fr-FR"/>
        </w:rPr>
        <w:t xml:space="preserve"> explicitement les non-humains dans les dispositifs décisionnels.</w:t>
      </w:r>
    </w:p>
    <w:p w14:paraId="7967101E" w14:textId="2E476F5C" w:rsidR="004F451A" w:rsidRPr="004F451A" w:rsidRDefault="009B3B88" w:rsidP="004F451A">
      <w:pPr>
        <w:pStyle w:val="Paragraphedeliste"/>
        <w:numPr>
          <w:ilvl w:val="0"/>
          <w:numId w:val="11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Équiper</w:t>
      </w:r>
      <w:r w:rsidR="005C253F" w:rsidRPr="004F451A">
        <w:rPr>
          <w:sz w:val="24"/>
          <w:szCs w:val="24"/>
          <w:lang w:val="fr-FR"/>
        </w:rPr>
        <w:t xml:space="preserve"> </w:t>
      </w:r>
      <w:r w:rsidR="009F744D" w:rsidRPr="004F451A">
        <w:rPr>
          <w:sz w:val="24"/>
          <w:szCs w:val="24"/>
          <w:lang w:val="fr-FR"/>
        </w:rPr>
        <w:t xml:space="preserve">les acteurs via des </w:t>
      </w:r>
      <w:r w:rsidR="005C253F">
        <w:rPr>
          <w:sz w:val="24"/>
          <w:szCs w:val="24"/>
          <w:lang w:val="fr-FR"/>
        </w:rPr>
        <w:t>outils</w:t>
      </w:r>
      <w:r w:rsidR="00160D24">
        <w:rPr>
          <w:sz w:val="24"/>
          <w:szCs w:val="24"/>
          <w:lang w:val="fr-FR"/>
        </w:rPr>
        <w:t>, dispositifs</w:t>
      </w:r>
      <w:r w:rsidR="005C253F">
        <w:rPr>
          <w:sz w:val="24"/>
          <w:szCs w:val="24"/>
          <w:lang w:val="fr-FR"/>
        </w:rPr>
        <w:t xml:space="preserve"> et méthodes</w:t>
      </w:r>
      <w:r w:rsidR="005C253F" w:rsidRPr="004F451A">
        <w:rPr>
          <w:sz w:val="24"/>
          <w:szCs w:val="24"/>
          <w:lang w:val="fr-FR"/>
        </w:rPr>
        <w:t xml:space="preserve"> </w:t>
      </w:r>
      <w:r w:rsidR="009F744D" w:rsidRPr="004F451A">
        <w:rPr>
          <w:sz w:val="24"/>
          <w:szCs w:val="24"/>
          <w:lang w:val="fr-FR"/>
        </w:rPr>
        <w:t xml:space="preserve">innovants </w:t>
      </w:r>
      <w:r w:rsidR="005C253F">
        <w:rPr>
          <w:sz w:val="24"/>
          <w:szCs w:val="24"/>
          <w:lang w:val="fr-FR"/>
        </w:rPr>
        <w:t>pour structurer ou faciliter des démarches de gestion de l’eau comme commun</w:t>
      </w:r>
      <w:r w:rsidR="005249D5">
        <w:rPr>
          <w:sz w:val="24"/>
          <w:szCs w:val="24"/>
          <w:lang w:val="fr-FR"/>
        </w:rPr>
        <w:t xml:space="preserve"> incluant les non-humains</w:t>
      </w:r>
      <w:r w:rsidR="009F744D" w:rsidRPr="004F451A">
        <w:rPr>
          <w:sz w:val="24"/>
          <w:szCs w:val="24"/>
          <w:lang w:val="fr-FR"/>
        </w:rPr>
        <w:t>.</w:t>
      </w:r>
    </w:p>
    <w:p w14:paraId="61C22D09" w14:textId="20793EED" w:rsidR="00C2093F" w:rsidRPr="004F451A" w:rsidRDefault="009F744D" w:rsidP="004F451A">
      <w:pPr>
        <w:pStyle w:val="Paragraphedeliste"/>
        <w:numPr>
          <w:ilvl w:val="0"/>
          <w:numId w:val="11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Mettre en place des indicateurs, outils de suivi et protocoles de gestion </w:t>
      </w:r>
      <w:r w:rsidRPr="00811231">
        <w:rPr>
          <w:sz w:val="24"/>
          <w:szCs w:val="24"/>
          <w:lang w:val="fr-FR"/>
        </w:rPr>
        <w:t>adaptative</w:t>
      </w:r>
      <w:r w:rsidR="00FE0835" w:rsidRPr="00811231">
        <w:rPr>
          <w:sz w:val="24"/>
          <w:szCs w:val="24"/>
          <w:lang w:val="fr-FR"/>
        </w:rPr>
        <w:t xml:space="preserve"> et inclusive</w:t>
      </w:r>
      <w:r w:rsidRPr="004F451A">
        <w:rPr>
          <w:sz w:val="24"/>
          <w:szCs w:val="24"/>
          <w:lang w:val="fr-FR"/>
        </w:rPr>
        <w:t xml:space="preserve"> permettant de concilier résilience </w:t>
      </w:r>
      <w:r w:rsidR="005249D5">
        <w:rPr>
          <w:sz w:val="24"/>
          <w:szCs w:val="24"/>
          <w:lang w:val="fr-FR"/>
        </w:rPr>
        <w:t>socio-</w:t>
      </w:r>
      <w:r w:rsidRPr="004F451A">
        <w:rPr>
          <w:sz w:val="24"/>
          <w:szCs w:val="24"/>
          <w:lang w:val="fr-FR"/>
        </w:rPr>
        <w:t xml:space="preserve">écologique </w:t>
      </w:r>
      <w:r w:rsidR="00502C17">
        <w:rPr>
          <w:sz w:val="24"/>
          <w:szCs w:val="24"/>
          <w:lang w:val="fr-FR"/>
        </w:rPr>
        <w:t>avec</w:t>
      </w:r>
      <w:r w:rsidR="002805E2">
        <w:rPr>
          <w:sz w:val="24"/>
          <w:szCs w:val="24"/>
          <w:lang w:val="fr-FR"/>
        </w:rPr>
        <w:t xml:space="preserve"> </w:t>
      </w:r>
      <w:r w:rsidR="005249D5">
        <w:rPr>
          <w:sz w:val="24"/>
          <w:szCs w:val="24"/>
          <w:lang w:val="fr-FR"/>
        </w:rPr>
        <w:t>une économie juste et durable</w:t>
      </w:r>
      <w:r w:rsidRPr="004F451A">
        <w:rPr>
          <w:sz w:val="24"/>
          <w:szCs w:val="24"/>
          <w:lang w:val="fr-FR"/>
        </w:rPr>
        <w:t>.</w:t>
      </w:r>
    </w:p>
    <w:p w14:paraId="7146A090" w14:textId="77777777" w:rsidR="004F451A" w:rsidRPr="004F451A" w:rsidRDefault="004F451A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Enjeux scientifiques et opérationnels</w:t>
      </w:r>
    </w:p>
    <w:p w14:paraId="3D8AB38B" w14:textId="6F4AF1C7" w:rsidR="004F451A" w:rsidRDefault="009F744D" w:rsidP="004F451A">
      <w:p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>Les enjeux scientifiques et opérationnels du PC7 découlent de la nécessité de repenser les modes de gouvernance de l’eau dans un contexte de changement global</w:t>
      </w:r>
      <w:r w:rsidR="00630401" w:rsidRPr="00630401">
        <w:rPr>
          <w:sz w:val="24"/>
          <w:szCs w:val="24"/>
          <w:lang w:val="fr-FR"/>
        </w:rPr>
        <w:t xml:space="preserve"> </w:t>
      </w:r>
      <w:r w:rsidR="00630401">
        <w:rPr>
          <w:sz w:val="24"/>
          <w:szCs w:val="24"/>
          <w:lang w:val="fr-FR"/>
        </w:rPr>
        <w:t xml:space="preserve">en s’appuyant sur les </w:t>
      </w:r>
      <w:r w:rsidR="00630401" w:rsidRPr="004F451A">
        <w:rPr>
          <w:sz w:val="24"/>
          <w:szCs w:val="24"/>
          <w:lang w:val="fr-FR"/>
        </w:rPr>
        <w:t>sciences de la durabilité</w:t>
      </w:r>
      <w:r w:rsidRPr="004F451A">
        <w:rPr>
          <w:sz w:val="24"/>
          <w:szCs w:val="24"/>
          <w:lang w:val="fr-FR"/>
        </w:rPr>
        <w:t xml:space="preserve">, </w:t>
      </w:r>
      <w:r w:rsidR="00950A39">
        <w:rPr>
          <w:sz w:val="24"/>
          <w:szCs w:val="24"/>
          <w:lang w:val="fr-FR"/>
        </w:rPr>
        <w:t>incluant parmi d’autres le</w:t>
      </w:r>
      <w:r w:rsidRPr="004F451A">
        <w:rPr>
          <w:sz w:val="24"/>
          <w:szCs w:val="24"/>
          <w:lang w:val="fr-FR"/>
        </w:rPr>
        <w:t xml:space="preserve"> droit, </w:t>
      </w:r>
      <w:r w:rsidR="00950A39">
        <w:rPr>
          <w:sz w:val="24"/>
          <w:szCs w:val="24"/>
          <w:lang w:val="fr-FR"/>
        </w:rPr>
        <w:t>l’</w:t>
      </w:r>
      <w:r w:rsidRPr="004F451A">
        <w:rPr>
          <w:sz w:val="24"/>
          <w:szCs w:val="24"/>
          <w:lang w:val="fr-FR"/>
        </w:rPr>
        <w:t xml:space="preserve">écologie, </w:t>
      </w:r>
      <w:r w:rsidR="00950A39">
        <w:rPr>
          <w:sz w:val="24"/>
          <w:szCs w:val="24"/>
          <w:lang w:val="fr-FR"/>
        </w:rPr>
        <w:t>l’aménagement</w:t>
      </w:r>
      <w:r w:rsidR="002805E2">
        <w:rPr>
          <w:sz w:val="24"/>
          <w:szCs w:val="24"/>
          <w:lang w:val="fr-FR"/>
        </w:rPr>
        <w:t xml:space="preserve"> et la géographie</w:t>
      </w:r>
      <w:r w:rsidR="00950A39">
        <w:rPr>
          <w:sz w:val="24"/>
          <w:szCs w:val="24"/>
          <w:lang w:val="fr-FR"/>
        </w:rPr>
        <w:t>, l’</w:t>
      </w:r>
      <w:r w:rsidRPr="004F451A">
        <w:rPr>
          <w:sz w:val="24"/>
          <w:szCs w:val="24"/>
          <w:lang w:val="fr-FR"/>
        </w:rPr>
        <w:t xml:space="preserve">économie et </w:t>
      </w:r>
      <w:r w:rsidR="00950A39">
        <w:rPr>
          <w:sz w:val="24"/>
          <w:szCs w:val="24"/>
          <w:lang w:val="fr-FR"/>
        </w:rPr>
        <w:t>la sociologie</w:t>
      </w:r>
      <w:r w:rsidRPr="004F451A">
        <w:rPr>
          <w:sz w:val="24"/>
          <w:szCs w:val="24"/>
          <w:lang w:val="fr-FR"/>
        </w:rPr>
        <w:t xml:space="preserve">. Il s’agit de </w:t>
      </w:r>
      <w:r w:rsidR="00630401">
        <w:rPr>
          <w:sz w:val="24"/>
          <w:szCs w:val="24"/>
          <w:lang w:val="fr-FR"/>
        </w:rPr>
        <w:t>développer et de tester</w:t>
      </w:r>
      <w:r w:rsidRPr="004F451A">
        <w:rPr>
          <w:sz w:val="24"/>
          <w:szCs w:val="24"/>
          <w:lang w:val="fr-FR"/>
        </w:rPr>
        <w:t xml:space="preserve"> de nouvelles formes de gouvernance adaptative et inclusive, dans lesquelles l’eau est conçue comme un commun, en intégrant les vivants humains et non-humains.</w:t>
      </w:r>
      <w:r w:rsidR="004F451A">
        <w:rPr>
          <w:sz w:val="24"/>
          <w:szCs w:val="24"/>
          <w:lang w:val="fr-FR"/>
        </w:rPr>
        <w:t xml:space="preserve"> </w:t>
      </w:r>
      <w:r w:rsidRPr="004F451A">
        <w:rPr>
          <w:sz w:val="24"/>
          <w:szCs w:val="24"/>
          <w:lang w:val="fr-FR"/>
        </w:rPr>
        <w:t xml:space="preserve">Les enjeux identifiés </w:t>
      </w:r>
      <w:r w:rsidR="00341605">
        <w:rPr>
          <w:sz w:val="24"/>
          <w:szCs w:val="24"/>
          <w:lang w:val="fr-FR"/>
        </w:rPr>
        <w:t xml:space="preserve">pour </w:t>
      </w:r>
      <w:r w:rsidR="00160D24">
        <w:rPr>
          <w:sz w:val="24"/>
          <w:szCs w:val="24"/>
          <w:lang w:val="fr-FR"/>
        </w:rPr>
        <w:t xml:space="preserve">la phase 2 sur la base des ateliers communs </w:t>
      </w:r>
      <w:r w:rsidRPr="004F451A">
        <w:rPr>
          <w:sz w:val="24"/>
          <w:szCs w:val="24"/>
          <w:lang w:val="fr-FR"/>
        </w:rPr>
        <w:t>se déclinent ainsi :</w:t>
      </w:r>
    </w:p>
    <w:p w14:paraId="0D169F76" w14:textId="44CAE0B8" w:rsidR="004F451A" w:rsidRDefault="00160D24" w:rsidP="004F451A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Enrichir</w:t>
      </w:r>
      <w:r w:rsidR="009F744D" w:rsidRPr="004F451A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le</w:t>
      </w:r>
      <w:r w:rsidR="009F744D" w:rsidRPr="004F451A">
        <w:rPr>
          <w:sz w:val="24"/>
          <w:szCs w:val="24"/>
          <w:lang w:val="fr-FR"/>
        </w:rPr>
        <w:t xml:space="preserve"> </w:t>
      </w:r>
      <w:r w:rsidR="009F744D" w:rsidRPr="004F451A">
        <w:rPr>
          <w:i/>
          <w:iCs/>
          <w:sz w:val="24"/>
          <w:szCs w:val="24"/>
          <w:lang w:val="fr-FR"/>
        </w:rPr>
        <w:t>cadre analytique interdisciplinaire</w:t>
      </w:r>
      <w:r w:rsidR="009F744D" w:rsidRPr="004F451A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élaboré en phase 1 pour</w:t>
      </w:r>
      <w:r w:rsidR="009F744D" w:rsidRPr="004F451A">
        <w:rPr>
          <w:sz w:val="24"/>
          <w:szCs w:val="24"/>
          <w:lang w:val="fr-FR"/>
        </w:rPr>
        <w:t xml:space="preserve"> fédérer une communauté épistémique de l’eau comme commun, en associant chercheurs, gestionnaires</w:t>
      </w:r>
      <w:r>
        <w:rPr>
          <w:sz w:val="24"/>
          <w:szCs w:val="24"/>
          <w:lang w:val="fr-FR"/>
        </w:rPr>
        <w:t>, société civile</w:t>
      </w:r>
      <w:r w:rsidR="009F744D" w:rsidRPr="004F451A">
        <w:rPr>
          <w:sz w:val="24"/>
          <w:szCs w:val="24"/>
          <w:lang w:val="fr-FR"/>
        </w:rPr>
        <w:t xml:space="preserve"> et acteurs de terrain.</w:t>
      </w:r>
    </w:p>
    <w:p w14:paraId="37F01BAE" w14:textId="2212A6C3" w:rsidR="004F451A" w:rsidRDefault="009F744D" w:rsidP="004F451A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Mettre à l’épreuve des </w:t>
      </w:r>
      <w:r w:rsidRPr="004F451A">
        <w:rPr>
          <w:i/>
          <w:iCs/>
          <w:sz w:val="24"/>
          <w:szCs w:val="24"/>
          <w:lang w:val="fr-FR"/>
        </w:rPr>
        <w:t>principes et outils de gouvernance adaptative</w:t>
      </w:r>
      <w:r w:rsidRPr="004F451A">
        <w:rPr>
          <w:sz w:val="24"/>
          <w:szCs w:val="24"/>
          <w:lang w:val="fr-FR"/>
        </w:rPr>
        <w:t xml:space="preserve">, en dépassant les contraintes structurelles actuelles et en identifiant de nouveaux leviers d’action pour la </w:t>
      </w:r>
      <w:r w:rsidR="00160D24">
        <w:rPr>
          <w:sz w:val="24"/>
          <w:szCs w:val="24"/>
          <w:lang w:val="fr-FR"/>
        </w:rPr>
        <w:t>gouvernance</w:t>
      </w:r>
      <w:r w:rsidRPr="004F451A">
        <w:rPr>
          <w:sz w:val="24"/>
          <w:szCs w:val="24"/>
          <w:lang w:val="fr-FR"/>
        </w:rPr>
        <w:t xml:space="preserve"> des socio-hydrosystèmes.</w:t>
      </w:r>
    </w:p>
    <w:p w14:paraId="1162A354" w14:textId="51FD43EC" w:rsidR="004F451A" w:rsidRDefault="009F744D" w:rsidP="004F451A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Développer et tester des </w:t>
      </w:r>
      <w:r w:rsidRPr="004F451A">
        <w:rPr>
          <w:i/>
          <w:iCs/>
          <w:sz w:val="24"/>
          <w:szCs w:val="24"/>
          <w:lang w:val="fr-FR"/>
        </w:rPr>
        <w:t>dispositifs et protocoles innovants</w:t>
      </w:r>
      <w:r w:rsidRPr="004F451A">
        <w:rPr>
          <w:sz w:val="24"/>
          <w:szCs w:val="24"/>
          <w:lang w:val="fr-FR"/>
        </w:rPr>
        <w:t xml:space="preserve"> pour inclure équitablement humains et non-humains dans la gouvernance.</w:t>
      </w:r>
    </w:p>
    <w:p w14:paraId="10207B13" w14:textId="1F1C5766" w:rsidR="004F451A" w:rsidRDefault="009F744D" w:rsidP="00160D24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Concevoir des </w:t>
      </w:r>
      <w:r w:rsidRPr="004F451A">
        <w:rPr>
          <w:i/>
          <w:iCs/>
          <w:sz w:val="24"/>
          <w:szCs w:val="24"/>
          <w:lang w:val="fr-FR"/>
        </w:rPr>
        <w:t>trajectoires d’adaptation robustes et transférables</w:t>
      </w:r>
      <w:r w:rsidRPr="004F451A">
        <w:rPr>
          <w:sz w:val="24"/>
          <w:szCs w:val="24"/>
          <w:lang w:val="fr-FR"/>
        </w:rPr>
        <w:t xml:space="preserve">, permettant l’évolution viable des socio-hydrosystèmes et l’élaboration de politiques publiques </w:t>
      </w:r>
      <w:r w:rsidR="00160D24" w:rsidRPr="00160D24">
        <w:rPr>
          <w:sz w:val="24"/>
          <w:szCs w:val="24"/>
          <w:lang w:val="fr-FR"/>
        </w:rPr>
        <w:t>conçues sur des principes de justice sociale et écologique.</w:t>
      </w:r>
    </w:p>
    <w:p w14:paraId="1D51B1C2" w14:textId="3B2ED65A" w:rsidR="00811231" w:rsidRPr="00160D24" w:rsidRDefault="00811231" w:rsidP="00160D24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Evaluer la pertinence d</w:t>
      </w:r>
      <w:r w:rsidR="00341605">
        <w:rPr>
          <w:sz w:val="24"/>
          <w:szCs w:val="24"/>
          <w:lang w:val="fr-FR"/>
        </w:rPr>
        <w:t>u transfert de</w:t>
      </w:r>
      <w:r>
        <w:rPr>
          <w:sz w:val="24"/>
          <w:szCs w:val="24"/>
          <w:lang w:val="fr-FR"/>
        </w:rPr>
        <w:t xml:space="preserve"> protocoles expérimentés dans </w:t>
      </w:r>
      <w:r w:rsidR="00341605">
        <w:rPr>
          <w:sz w:val="24"/>
          <w:szCs w:val="24"/>
          <w:lang w:val="fr-FR"/>
        </w:rPr>
        <w:t>des situations test vers d’autres situations</w:t>
      </w:r>
      <w:r w:rsidR="002805E2">
        <w:rPr>
          <w:sz w:val="24"/>
          <w:szCs w:val="24"/>
          <w:lang w:val="fr-FR"/>
        </w:rPr>
        <w:t>.</w:t>
      </w:r>
    </w:p>
    <w:p w14:paraId="491E4C29" w14:textId="77777777" w:rsidR="00C2093F" w:rsidRDefault="009F744D" w:rsidP="004F451A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Expérimenter et comparer des </w:t>
      </w:r>
      <w:r w:rsidRPr="004F451A">
        <w:rPr>
          <w:i/>
          <w:iCs/>
          <w:sz w:val="24"/>
          <w:szCs w:val="24"/>
          <w:lang w:val="fr-FR"/>
        </w:rPr>
        <w:t xml:space="preserve">modèles de gouvernance dans des territoires contrastés </w:t>
      </w:r>
      <w:r w:rsidRPr="004F451A">
        <w:rPr>
          <w:sz w:val="24"/>
          <w:szCs w:val="24"/>
          <w:lang w:val="fr-FR"/>
        </w:rPr>
        <w:t>(France métropolitaine et Outre-mer), en mettant en lumière les facteurs de blocage, les conflits et les rapports de pouvoir, mais aussi les conditions de solidarité écologique et d’équité entre acteurs et territoires.</w:t>
      </w:r>
    </w:p>
    <w:p w14:paraId="5B241E77" w14:textId="77777777" w:rsidR="009E0E36" w:rsidRDefault="00FE0835" w:rsidP="005F059E">
      <w:pPr>
        <w:pStyle w:val="Paragraphedeliste"/>
        <w:numPr>
          <w:ilvl w:val="0"/>
          <w:numId w:val="22"/>
        </w:numPr>
        <w:jc w:val="both"/>
        <w:rPr>
          <w:sz w:val="24"/>
          <w:szCs w:val="24"/>
          <w:lang w:val="fr-FR"/>
        </w:rPr>
      </w:pPr>
      <w:r w:rsidRPr="005F059E">
        <w:rPr>
          <w:sz w:val="24"/>
          <w:szCs w:val="24"/>
          <w:lang w:val="fr-FR"/>
        </w:rPr>
        <w:lastRenderedPageBreak/>
        <w:t xml:space="preserve">Contribuer à </w:t>
      </w:r>
      <w:r w:rsidR="00811231" w:rsidRPr="005F059E">
        <w:rPr>
          <w:sz w:val="24"/>
          <w:szCs w:val="24"/>
          <w:lang w:val="fr-FR"/>
        </w:rPr>
        <w:t>r</w:t>
      </w:r>
      <w:r w:rsidR="00160D24" w:rsidRPr="005F059E">
        <w:rPr>
          <w:sz w:val="24"/>
          <w:szCs w:val="24"/>
          <w:lang w:val="fr-FR"/>
        </w:rPr>
        <w:t>epenser les modèles de</w:t>
      </w:r>
      <w:r w:rsidR="002805E2" w:rsidRPr="005F059E">
        <w:rPr>
          <w:sz w:val="24"/>
          <w:szCs w:val="24"/>
          <w:lang w:val="fr-FR"/>
        </w:rPr>
        <w:t xml:space="preserve"> société fondés sur un</w:t>
      </w:r>
      <w:r w:rsidR="00160D24" w:rsidRPr="005F059E">
        <w:rPr>
          <w:sz w:val="24"/>
          <w:szCs w:val="24"/>
          <w:lang w:val="fr-FR"/>
        </w:rPr>
        <w:t xml:space="preserve"> développement économique</w:t>
      </w:r>
      <w:r w:rsidR="00160D24" w:rsidRPr="002805E2">
        <w:rPr>
          <w:sz w:val="24"/>
          <w:szCs w:val="24"/>
          <w:lang w:val="fr-FR"/>
        </w:rPr>
        <w:t xml:space="preserve"> </w:t>
      </w:r>
      <w:r w:rsidR="002805E2">
        <w:rPr>
          <w:sz w:val="24"/>
          <w:szCs w:val="24"/>
          <w:lang w:val="fr-FR"/>
        </w:rPr>
        <w:t>dépendant de</w:t>
      </w:r>
      <w:r w:rsidR="00160D24" w:rsidRPr="002805E2">
        <w:rPr>
          <w:sz w:val="24"/>
          <w:szCs w:val="24"/>
          <w:lang w:val="fr-FR"/>
        </w:rPr>
        <w:t xml:space="preserve"> l’extractivisme des ressources</w:t>
      </w:r>
      <w:r w:rsidR="009B3B88" w:rsidRPr="002805E2">
        <w:rPr>
          <w:sz w:val="24"/>
          <w:szCs w:val="24"/>
          <w:lang w:val="fr-FR"/>
        </w:rPr>
        <w:t xml:space="preserve">, dont l’eau, </w:t>
      </w:r>
      <w:r w:rsidR="00160D24" w:rsidRPr="002805E2">
        <w:rPr>
          <w:sz w:val="24"/>
          <w:szCs w:val="24"/>
          <w:lang w:val="fr-FR"/>
        </w:rPr>
        <w:t>pour définir des trajectoires vers des modèles solidaires et écologiques, intégrant les limites planétaires.</w:t>
      </w:r>
    </w:p>
    <w:p w14:paraId="2A5CACF1" w14:textId="03880BE3" w:rsidR="00C2093F" w:rsidRPr="002805E2" w:rsidRDefault="009F744D" w:rsidP="002805E2">
      <w:pPr>
        <w:pStyle w:val="Titre2"/>
        <w:jc w:val="both"/>
        <w:rPr>
          <w:rFonts w:asciiTheme="minorHAnsi" w:hAnsiTheme="minorHAnsi"/>
          <w:sz w:val="24"/>
          <w:szCs w:val="24"/>
          <w:lang w:val="fr-FR"/>
        </w:rPr>
      </w:pPr>
      <w:r w:rsidRPr="002805E2">
        <w:rPr>
          <w:rFonts w:asciiTheme="minorHAnsi" w:hAnsiTheme="minorHAnsi"/>
          <w:sz w:val="28"/>
          <w:szCs w:val="28"/>
          <w:lang w:val="fr-FR"/>
        </w:rPr>
        <w:t>Modalités de l’Appel à Manifestation d’Intérêt</w:t>
      </w:r>
    </w:p>
    <w:p w14:paraId="4063708B" w14:textId="0C13D703" w:rsidR="000474FC" w:rsidRDefault="009F744D" w:rsidP="004F451A">
      <w:p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Cet AMI s’adresse </w:t>
      </w:r>
      <w:r w:rsidR="00A17A1D">
        <w:rPr>
          <w:sz w:val="24"/>
          <w:szCs w:val="24"/>
          <w:lang w:val="fr-FR"/>
        </w:rPr>
        <w:t>à des</w:t>
      </w:r>
      <w:r w:rsidR="00A17A1D" w:rsidRPr="004F451A">
        <w:rPr>
          <w:sz w:val="24"/>
          <w:szCs w:val="24"/>
          <w:lang w:val="fr-FR"/>
        </w:rPr>
        <w:t xml:space="preserve"> </w:t>
      </w:r>
      <w:r w:rsidRPr="004F451A">
        <w:rPr>
          <w:sz w:val="24"/>
          <w:szCs w:val="24"/>
          <w:lang w:val="fr-FR"/>
        </w:rPr>
        <w:t>équipes interdisciplinaires</w:t>
      </w:r>
      <w:r w:rsidR="00950A39">
        <w:rPr>
          <w:sz w:val="24"/>
          <w:szCs w:val="24"/>
          <w:lang w:val="fr-FR"/>
        </w:rPr>
        <w:t xml:space="preserve"> incluant des institutions académiques et </w:t>
      </w:r>
      <w:r w:rsidR="00A17A1D">
        <w:rPr>
          <w:sz w:val="24"/>
          <w:szCs w:val="24"/>
          <w:lang w:val="fr-FR"/>
        </w:rPr>
        <w:t xml:space="preserve">des </w:t>
      </w:r>
      <w:r w:rsidR="00950A39">
        <w:rPr>
          <w:sz w:val="24"/>
          <w:szCs w:val="24"/>
          <w:lang w:val="fr-FR"/>
        </w:rPr>
        <w:t>gestionnaires</w:t>
      </w:r>
      <w:r w:rsidR="00A17A1D">
        <w:rPr>
          <w:sz w:val="24"/>
          <w:szCs w:val="24"/>
          <w:lang w:val="fr-FR"/>
        </w:rPr>
        <w:t xml:space="preserve"> (EPCI, EPAGE…)</w:t>
      </w:r>
      <w:r w:rsidR="00950A39">
        <w:rPr>
          <w:sz w:val="24"/>
          <w:szCs w:val="24"/>
          <w:lang w:val="fr-FR"/>
        </w:rPr>
        <w:t xml:space="preserve"> autour d’au moins un site d’étude</w:t>
      </w:r>
      <w:r w:rsidR="00341605">
        <w:rPr>
          <w:rStyle w:val="Appelnotedebasdep"/>
          <w:sz w:val="24"/>
          <w:szCs w:val="24"/>
          <w:lang w:val="fr-FR"/>
        </w:rPr>
        <w:footnoteReference w:id="2"/>
      </w:r>
      <w:r w:rsidR="00950A39">
        <w:rPr>
          <w:sz w:val="24"/>
          <w:szCs w:val="24"/>
          <w:lang w:val="fr-FR"/>
        </w:rPr>
        <w:t xml:space="preserve"> </w:t>
      </w:r>
      <w:r w:rsidRPr="004F451A">
        <w:rPr>
          <w:sz w:val="24"/>
          <w:szCs w:val="24"/>
          <w:lang w:val="fr-FR"/>
        </w:rPr>
        <w:t xml:space="preserve">souhaitant contribuer </w:t>
      </w:r>
      <w:r w:rsidRPr="004F451A">
        <w:rPr>
          <w:sz w:val="24"/>
          <w:szCs w:val="24"/>
          <w:lang w:val="fr-FR"/>
        </w:rPr>
        <w:t>à l’expérimentation</w:t>
      </w:r>
      <w:r w:rsidR="00A17A1D">
        <w:rPr>
          <w:sz w:val="24"/>
          <w:szCs w:val="24"/>
          <w:lang w:val="fr-FR"/>
        </w:rPr>
        <w:t>,</w:t>
      </w:r>
      <w:r w:rsidRPr="004F451A">
        <w:rPr>
          <w:sz w:val="24"/>
          <w:szCs w:val="24"/>
          <w:lang w:val="fr-FR"/>
        </w:rPr>
        <w:t xml:space="preserve"> à l’équipement</w:t>
      </w:r>
      <w:r w:rsidR="00A17A1D">
        <w:rPr>
          <w:sz w:val="24"/>
          <w:szCs w:val="24"/>
          <w:lang w:val="fr-FR"/>
        </w:rPr>
        <w:t xml:space="preserve"> et/ou à l’évaluation</w:t>
      </w:r>
      <w:r w:rsidRPr="004F451A">
        <w:rPr>
          <w:sz w:val="24"/>
          <w:szCs w:val="24"/>
          <w:lang w:val="fr-FR"/>
        </w:rPr>
        <w:t xml:space="preserve"> </w:t>
      </w:r>
      <w:r w:rsidR="00A17A1D">
        <w:rPr>
          <w:sz w:val="24"/>
          <w:szCs w:val="24"/>
          <w:lang w:val="fr-FR"/>
        </w:rPr>
        <w:t>d’un processus de</w:t>
      </w:r>
      <w:r w:rsidRPr="004F451A">
        <w:rPr>
          <w:sz w:val="24"/>
          <w:szCs w:val="24"/>
          <w:lang w:val="fr-FR"/>
        </w:rPr>
        <w:t xml:space="preserve"> gouvernance de l’eau comme</w:t>
      </w:r>
      <w:r w:rsidR="00950A39">
        <w:rPr>
          <w:sz w:val="24"/>
          <w:szCs w:val="24"/>
          <w:lang w:val="fr-FR"/>
        </w:rPr>
        <w:t xml:space="preserve"> bien</w:t>
      </w:r>
      <w:r w:rsidRPr="004F451A">
        <w:rPr>
          <w:sz w:val="24"/>
          <w:szCs w:val="24"/>
          <w:lang w:val="fr-FR"/>
        </w:rPr>
        <w:t xml:space="preserve"> commun.</w:t>
      </w:r>
      <w:r w:rsidR="00950A39">
        <w:rPr>
          <w:sz w:val="24"/>
          <w:szCs w:val="24"/>
          <w:lang w:val="fr-FR"/>
        </w:rPr>
        <w:t xml:space="preserve"> </w:t>
      </w:r>
    </w:p>
    <w:p w14:paraId="2468AD6D" w14:textId="61D3E006" w:rsidR="00A17A1D" w:rsidRDefault="00A17A1D" w:rsidP="004F451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vise à collecter des intentions de mise en place d’expérimentation</w:t>
      </w:r>
      <w:r w:rsidR="0062506A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 et</w:t>
      </w:r>
      <w:r w:rsidR="0062506A">
        <w:rPr>
          <w:sz w:val="24"/>
          <w:szCs w:val="24"/>
          <w:lang w:val="fr-FR"/>
        </w:rPr>
        <w:t>/ou</w:t>
      </w:r>
      <w:r>
        <w:rPr>
          <w:sz w:val="24"/>
          <w:szCs w:val="24"/>
          <w:lang w:val="fr-FR"/>
        </w:rPr>
        <w:t xml:space="preserve"> d’évaluation </w:t>
      </w:r>
      <w:r>
        <w:rPr>
          <w:sz w:val="24"/>
          <w:szCs w:val="24"/>
          <w:lang w:val="fr-FR"/>
        </w:rPr>
        <w:t>d’expérimentation</w:t>
      </w:r>
      <w:r w:rsidR="0062506A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 existante</w:t>
      </w:r>
      <w:r w:rsidR="0062506A">
        <w:rPr>
          <w:sz w:val="24"/>
          <w:szCs w:val="24"/>
          <w:lang w:val="fr-FR"/>
        </w:rPr>
        <w:t>s</w:t>
      </w:r>
      <w:r w:rsidR="004E03BC">
        <w:rPr>
          <w:sz w:val="24"/>
          <w:szCs w:val="24"/>
          <w:lang w:val="fr-FR"/>
        </w:rPr>
        <w:t xml:space="preserve"> sur la </w:t>
      </w:r>
      <w:r w:rsidR="00341605">
        <w:rPr>
          <w:sz w:val="24"/>
          <w:szCs w:val="24"/>
          <w:lang w:val="fr-FR"/>
        </w:rPr>
        <w:t>phase 2,</w:t>
      </w:r>
      <w:r w:rsidR="004E03BC">
        <w:rPr>
          <w:sz w:val="24"/>
          <w:szCs w:val="24"/>
          <w:lang w:val="fr-FR"/>
        </w:rPr>
        <w:t xml:space="preserve"> permettant de faire avancer </w:t>
      </w:r>
      <w:r w:rsidR="004E03BC">
        <w:rPr>
          <w:sz w:val="24"/>
          <w:szCs w:val="24"/>
          <w:lang w:val="fr-FR"/>
        </w:rPr>
        <w:t xml:space="preserve">les questions listées à la section précédente. Ces intentions ont vocation à être travaillées en collectif (les porteurs d’intention sélectionnés et le copil du </w:t>
      </w:r>
      <w:r w:rsidR="005F059E">
        <w:rPr>
          <w:sz w:val="24"/>
          <w:szCs w:val="24"/>
          <w:lang w:val="fr-FR"/>
        </w:rPr>
        <w:t>PC7</w:t>
      </w:r>
      <w:r w:rsidR="004E03BC">
        <w:rPr>
          <w:sz w:val="24"/>
          <w:szCs w:val="24"/>
          <w:lang w:val="fr-FR"/>
        </w:rPr>
        <w:t xml:space="preserve">) pour couvrir les questions du </w:t>
      </w:r>
      <w:r w:rsidR="005F059E">
        <w:rPr>
          <w:sz w:val="24"/>
          <w:szCs w:val="24"/>
          <w:lang w:val="fr-FR"/>
        </w:rPr>
        <w:t>PC7</w:t>
      </w:r>
      <w:r w:rsidR="004E03BC">
        <w:rPr>
          <w:sz w:val="24"/>
          <w:szCs w:val="24"/>
          <w:lang w:val="fr-FR"/>
        </w:rPr>
        <w:t xml:space="preserve"> et bénéficier au mieux de l’éventail de compétences de la communauté scientifique concernée par le projet. De tels travaux </w:t>
      </w:r>
      <w:r w:rsidR="000879AA">
        <w:rPr>
          <w:sz w:val="24"/>
          <w:szCs w:val="24"/>
          <w:lang w:val="fr-FR"/>
        </w:rPr>
        <w:t>devront s’appuyer sur</w:t>
      </w:r>
      <w:r w:rsidR="004E03BC">
        <w:rPr>
          <w:sz w:val="24"/>
          <w:szCs w:val="24"/>
          <w:lang w:val="fr-FR"/>
        </w:rPr>
        <w:t xml:space="preserve"> un partenariat robuste avec les acteurs des territoires en charge de la gouvernance de l’eau. En conséquence </w:t>
      </w:r>
      <w:r w:rsidR="000B7E83">
        <w:rPr>
          <w:sz w:val="24"/>
          <w:szCs w:val="24"/>
          <w:lang w:val="fr-FR"/>
        </w:rPr>
        <w:t>l</w:t>
      </w:r>
      <w:r w:rsidR="004E03BC">
        <w:rPr>
          <w:sz w:val="24"/>
          <w:szCs w:val="24"/>
          <w:lang w:val="fr-FR"/>
        </w:rPr>
        <w:t>a mise en œuvre de l’AMI se fera en 3 temps :</w:t>
      </w:r>
    </w:p>
    <w:p w14:paraId="7959A479" w14:textId="1C1B12E0" w:rsidR="004E03BC" w:rsidRPr="005F059E" w:rsidRDefault="004E03BC" w:rsidP="005F059E">
      <w:pPr>
        <w:pStyle w:val="Paragraphedeliste"/>
        <w:numPr>
          <w:ilvl w:val="0"/>
          <w:numId w:val="26"/>
        </w:numPr>
        <w:jc w:val="both"/>
        <w:rPr>
          <w:sz w:val="24"/>
          <w:szCs w:val="24"/>
          <w:lang w:val="fr-FR"/>
        </w:rPr>
      </w:pPr>
      <w:r w:rsidRPr="005F059E">
        <w:rPr>
          <w:sz w:val="24"/>
          <w:szCs w:val="24"/>
          <w:lang w:val="fr-FR"/>
        </w:rPr>
        <w:t>Collecte des propositions d’intention et consolidation dans des propositions interdisciplinaires ciblées sur un</w:t>
      </w:r>
      <w:r w:rsidR="00341605">
        <w:rPr>
          <w:sz w:val="24"/>
          <w:szCs w:val="24"/>
          <w:lang w:val="fr-FR"/>
        </w:rPr>
        <w:t xml:space="preserve"> ou plusieurs</w:t>
      </w:r>
      <w:r w:rsidRPr="005F059E">
        <w:rPr>
          <w:sz w:val="24"/>
          <w:szCs w:val="24"/>
          <w:lang w:val="fr-FR"/>
        </w:rPr>
        <w:t xml:space="preserve"> territoire</w:t>
      </w:r>
      <w:r w:rsidR="00341605">
        <w:rPr>
          <w:sz w:val="24"/>
          <w:szCs w:val="24"/>
          <w:lang w:val="fr-FR"/>
        </w:rPr>
        <w:t>(s)</w:t>
      </w:r>
      <w:r w:rsidRPr="005F059E">
        <w:rPr>
          <w:sz w:val="24"/>
          <w:szCs w:val="24"/>
          <w:lang w:val="fr-FR"/>
        </w:rPr>
        <w:t xml:space="preserve"> (</w:t>
      </w:r>
      <w:r w:rsidR="00BB0BE1">
        <w:rPr>
          <w:sz w:val="24"/>
          <w:szCs w:val="24"/>
          <w:lang w:val="fr-FR"/>
        </w:rPr>
        <w:t xml:space="preserve">fin 2025/mi </w:t>
      </w:r>
      <w:r w:rsidRPr="005F059E">
        <w:rPr>
          <w:sz w:val="24"/>
          <w:szCs w:val="24"/>
          <w:lang w:val="fr-FR"/>
        </w:rPr>
        <w:t>2026)</w:t>
      </w:r>
      <w:r w:rsidR="0062506A">
        <w:rPr>
          <w:sz w:val="24"/>
          <w:szCs w:val="24"/>
          <w:lang w:val="fr-FR"/>
        </w:rPr>
        <w:t>.</w:t>
      </w:r>
    </w:p>
    <w:p w14:paraId="7A7D3033" w14:textId="150CD32E" w:rsidR="004E03BC" w:rsidRDefault="004E03BC">
      <w:pPr>
        <w:pStyle w:val="Paragraphedeliste"/>
        <w:numPr>
          <w:ilvl w:val="0"/>
          <w:numId w:val="26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Amorçage et mise à l’épreuve de la compatibilité des attentes et des contraintes des équipes de recherche et des acteurs des territoires dans la mise en place fine de l’expérimentation (mi-2026-mi</w:t>
      </w:r>
      <w:r w:rsidR="000879AA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2027)</w:t>
      </w:r>
      <w:r w:rsidR="00BB0BE1">
        <w:rPr>
          <w:sz w:val="24"/>
          <w:szCs w:val="24"/>
          <w:lang w:val="fr-FR"/>
        </w:rPr>
        <w:t xml:space="preserve">. </w:t>
      </w:r>
    </w:p>
    <w:p w14:paraId="48F07462" w14:textId="4A1A38E9" w:rsidR="00BB0BE1" w:rsidRPr="00BB0BE1" w:rsidRDefault="00BB0BE1" w:rsidP="005F059E">
      <w:pPr>
        <w:pStyle w:val="Paragraphedeliste"/>
        <w:ind w:left="360"/>
        <w:jc w:val="both"/>
        <w:rPr>
          <w:sz w:val="24"/>
          <w:szCs w:val="24"/>
          <w:lang w:val="fr-FR"/>
        </w:rPr>
      </w:pPr>
      <w:r w:rsidRPr="00BB0BE1">
        <w:rPr>
          <w:sz w:val="24"/>
          <w:szCs w:val="24"/>
          <w:lang w:val="fr-FR"/>
        </w:rPr>
        <w:t xml:space="preserve">Le temps d’amorçage correspondra à un financement spécifique court, dédié à </w:t>
      </w:r>
      <w:r w:rsidR="000879AA">
        <w:rPr>
          <w:sz w:val="24"/>
          <w:szCs w:val="24"/>
          <w:lang w:val="fr-FR"/>
        </w:rPr>
        <w:t xml:space="preserve">des dépenses de </w:t>
      </w:r>
      <w:r w:rsidRPr="00BB0BE1">
        <w:rPr>
          <w:sz w:val="24"/>
          <w:szCs w:val="24"/>
          <w:lang w:val="fr-FR"/>
        </w:rPr>
        <w:t xml:space="preserve">fonctionnement de travaux sur le terrain (missions, organisation d’ateliers, observations initiales) et de stages. Les montants dédiés à cette phase seront de 15000€ maximum par action soutenue. Toutes les propositions retenues devront être co-encadrées ou co-dirigées par des membres appartenant à deux unités de recherche distinctes. Elles devront également préciser un territoire d’observation ou d’expérimentation, et indiquer si celui-ci s’inscrit dans une infrastructure de recherche </w:t>
      </w:r>
      <w:r w:rsidR="005F059E">
        <w:rPr>
          <w:sz w:val="24"/>
          <w:szCs w:val="24"/>
          <w:lang w:val="fr-FR"/>
        </w:rPr>
        <w:t>ciblée par le</w:t>
      </w:r>
      <w:r w:rsidRPr="00BB0BE1">
        <w:rPr>
          <w:sz w:val="24"/>
          <w:szCs w:val="24"/>
          <w:lang w:val="fr-FR"/>
        </w:rPr>
        <w:t xml:space="preserve"> PEPR. Les territoires s’inscrivant dans ces infrastructures seront privilégiés sous réserve que l’ensemble des questions émerge</w:t>
      </w:r>
      <w:r w:rsidR="0062506A">
        <w:rPr>
          <w:sz w:val="24"/>
          <w:szCs w:val="24"/>
          <w:lang w:val="fr-FR"/>
        </w:rPr>
        <w:t>a</w:t>
      </w:r>
      <w:r w:rsidRPr="00BB0BE1">
        <w:rPr>
          <w:sz w:val="24"/>
          <w:szCs w:val="24"/>
          <w:lang w:val="fr-FR"/>
        </w:rPr>
        <w:t>nt de la phase 1 du projet puissent être couvertes.</w:t>
      </w:r>
    </w:p>
    <w:p w14:paraId="781140D0" w14:textId="77777777" w:rsidR="00BB0BE1" w:rsidRDefault="00BB0BE1" w:rsidP="005F059E">
      <w:pPr>
        <w:pStyle w:val="Paragraphedeliste"/>
        <w:ind w:left="360"/>
        <w:jc w:val="both"/>
        <w:rPr>
          <w:sz w:val="24"/>
          <w:szCs w:val="24"/>
          <w:lang w:val="fr-FR"/>
        </w:rPr>
      </w:pPr>
    </w:p>
    <w:p w14:paraId="2B9FCC0B" w14:textId="40A02A5A" w:rsidR="004E03BC" w:rsidRDefault="004E03BC" w:rsidP="005F059E">
      <w:pPr>
        <w:pStyle w:val="Paragraphedeliste"/>
        <w:numPr>
          <w:ilvl w:val="0"/>
          <w:numId w:val="26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Développement de l’expérimentation et de son suivi-évaluation (mi 2027- 2031)</w:t>
      </w:r>
    </w:p>
    <w:p w14:paraId="1E20D9A0" w14:textId="50D08D23" w:rsidR="0023368E" w:rsidRDefault="0028468A" w:rsidP="0023368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troisième temps correspond à des financements de plus grande ampleur pouvant inclure</w:t>
      </w:r>
      <w:r w:rsidR="00F2637F">
        <w:rPr>
          <w:sz w:val="24"/>
          <w:szCs w:val="24"/>
          <w:lang w:val="fr-FR"/>
        </w:rPr>
        <w:t xml:space="preserve"> : </w:t>
      </w:r>
      <w:r w:rsidR="0023368E">
        <w:rPr>
          <w:sz w:val="24"/>
          <w:szCs w:val="24"/>
          <w:lang w:val="fr-FR"/>
        </w:rPr>
        <w:t xml:space="preserve">(1) </w:t>
      </w:r>
      <w:r>
        <w:rPr>
          <w:sz w:val="24"/>
          <w:szCs w:val="24"/>
          <w:lang w:val="fr-FR"/>
        </w:rPr>
        <w:t>des co-financements de thèse ou de post doctorat</w:t>
      </w:r>
      <w:r w:rsidR="00001623">
        <w:rPr>
          <w:sz w:val="24"/>
          <w:szCs w:val="24"/>
          <w:lang w:val="fr-FR"/>
        </w:rPr>
        <w:t xml:space="preserve"> avec prise en compte des coûts </w:t>
      </w:r>
      <w:r w:rsidR="00001623">
        <w:rPr>
          <w:sz w:val="24"/>
          <w:szCs w:val="24"/>
          <w:lang w:val="fr-FR"/>
        </w:rPr>
        <w:lastRenderedPageBreak/>
        <w:t>d’environnement</w:t>
      </w:r>
      <w:r w:rsidR="0023368E">
        <w:rPr>
          <w:sz w:val="24"/>
          <w:szCs w:val="24"/>
          <w:lang w:val="fr-FR"/>
        </w:rPr>
        <w:t>, (2) des frais de recherche de doctorants ou post-docs</w:t>
      </w:r>
      <w:r w:rsidR="00F2637F">
        <w:rPr>
          <w:sz w:val="24"/>
          <w:szCs w:val="24"/>
          <w:lang w:val="fr-FR"/>
        </w:rPr>
        <w:t>,</w:t>
      </w:r>
      <w:r w:rsidR="0023368E">
        <w:rPr>
          <w:sz w:val="24"/>
          <w:szCs w:val="24"/>
          <w:lang w:val="fr-FR"/>
        </w:rPr>
        <w:t xml:space="preserve"> financés par ailleurs</w:t>
      </w:r>
      <w:r w:rsidR="00F2637F">
        <w:rPr>
          <w:sz w:val="24"/>
          <w:szCs w:val="24"/>
          <w:lang w:val="fr-FR"/>
        </w:rPr>
        <w:t>,</w:t>
      </w:r>
      <w:r w:rsidR="0023368E">
        <w:rPr>
          <w:sz w:val="24"/>
          <w:szCs w:val="24"/>
          <w:lang w:val="fr-FR"/>
        </w:rPr>
        <w:t xml:space="preserve"> contribuant aux objectifs du PC7, (3) </w:t>
      </w:r>
      <w:r w:rsidR="00F2637F">
        <w:rPr>
          <w:sz w:val="24"/>
          <w:szCs w:val="24"/>
          <w:lang w:val="fr-FR"/>
        </w:rPr>
        <w:t xml:space="preserve">des </w:t>
      </w:r>
      <w:r w:rsidR="0023368E">
        <w:rPr>
          <w:sz w:val="24"/>
          <w:szCs w:val="24"/>
          <w:lang w:val="fr-FR"/>
        </w:rPr>
        <w:t>frais liés au suivi-évaluation des expérimentations mises en œuvre</w:t>
      </w:r>
      <w:r>
        <w:rPr>
          <w:sz w:val="24"/>
          <w:szCs w:val="24"/>
          <w:lang w:val="fr-FR"/>
        </w:rPr>
        <w:t xml:space="preserve">. </w:t>
      </w:r>
      <w:r w:rsidR="00001623">
        <w:rPr>
          <w:sz w:val="24"/>
          <w:szCs w:val="24"/>
          <w:lang w:val="fr-FR"/>
        </w:rPr>
        <w:t>Ce troisième temps</w:t>
      </w:r>
      <w:r>
        <w:rPr>
          <w:sz w:val="24"/>
          <w:szCs w:val="24"/>
          <w:lang w:val="fr-FR"/>
        </w:rPr>
        <w:t xml:space="preserve"> ne sera pas automatique et dépendra des résultats de l’amorçage</w:t>
      </w:r>
      <w:r w:rsidR="00F2637F">
        <w:rPr>
          <w:sz w:val="24"/>
          <w:szCs w:val="24"/>
          <w:lang w:val="fr-FR"/>
        </w:rPr>
        <w:t>. Il sera donc lié à la</w:t>
      </w:r>
      <w:r>
        <w:rPr>
          <w:sz w:val="24"/>
          <w:szCs w:val="24"/>
          <w:lang w:val="fr-FR"/>
        </w:rPr>
        <w:t xml:space="preserve"> confirmation explicite de l’ensemble des partenaires de l’expérimentation de leur souhait de poursuivre celle-ci</w:t>
      </w:r>
      <w:r w:rsidR="00F2637F">
        <w:rPr>
          <w:sz w:val="24"/>
          <w:szCs w:val="24"/>
          <w:lang w:val="fr-FR"/>
        </w:rPr>
        <w:t>, avec d’éventuelles</w:t>
      </w:r>
      <w:r>
        <w:rPr>
          <w:sz w:val="24"/>
          <w:szCs w:val="24"/>
          <w:lang w:val="fr-FR"/>
        </w:rPr>
        <w:t xml:space="preserve"> adaptations, ainsi que des contraintes financières</w:t>
      </w:r>
      <w:r w:rsidR="00F2637F">
        <w:rPr>
          <w:sz w:val="24"/>
          <w:szCs w:val="24"/>
          <w:lang w:val="fr-FR"/>
        </w:rPr>
        <w:t xml:space="preserve">. </w:t>
      </w:r>
      <w:r w:rsidR="004E1364" w:rsidRPr="004E1364">
        <w:rPr>
          <w:sz w:val="24"/>
          <w:szCs w:val="24"/>
          <w:lang w:val="fr-FR"/>
        </w:rPr>
        <w:t>Les projets co-fi</w:t>
      </w:r>
      <w:r w:rsidR="004E1364">
        <w:rPr>
          <w:sz w:val="24"/>
          <w:szCs w:val="24"/>
          <w:lang w:val="fr-FR"/>
        </w:rPr>
        <w:t>n</w:t>
      </w:r>
      <w:r w:rsidR="004E1364" w:rsidRPr="004E1364">
        <w:rPr>
          <w:sz w:val="24"/>
          <w:szCs w:val="24"/>
          <w:lang w:val="fr-FR"/>
        </w:rPr>
        <w:t xml:space="preserve">ancés seront à privilégier. </w:t>
      </w:r>
      <w:r w:rsidR="0023368E" w:rsidRPr="00F30DD4">
        <w:rPr>
          <w:sz w:val="24"/>
          <w:szCs w:val="24"/>
          <w:lang w:val="fr-FR"/>
        </w:rPr>
        <w:t xml:space="preserve">Les cofinancements </w:t>
      </w:r>
      <w:r w:rsidR="0023368E">
        <w:rPr>
          <w:sz w:val="24"/>
          <w:szCs w:val="24"/>
          <w:lang w:val="fr-FR"/>
        </w:rPr>
        <w:t xml:space="preserve">pourront </w:t>
      </w:r>
      <w:r w:rsidR="0023368E" w:rsidRPr="00F30DD4">
        <w:rPr>
          <w:sz w:val="24"/>
          <w:szCs w:val="24"/>
          <w:lang w:val="fr-FR"/>
        </w:rPr>
        <w:t xml:space="preserve">provenir en priorité de partenaires non académiques (collectivités, </w:t>
      </w:r>
      <w:r w:rsidR="00F2637F">
        <w:rPr>
          <w:sz w:val="24"/>
          <w:szCs w:val="24"/>
          <w:lang w:val="fr-FR"/>
        </w:rPr>
        <w:t xml:space="preserve">agences de l’eau, </w:t>
      </w:r>
      <w:r w:rsidR="0023368E" w:rsidRPr="00F30DD4">
        <w:rPr>
          <w:sz w:val="24"/>
          <w:szCs w:val="24"/>
          <w:lang w:val="fr-FR"/>
        </w:rPr>
        <w:t>associations, gestionnaires, entreprises) impliqués dans la gouvernance de l’eau et participant activement aux choix scientifiques et méthodologiques, aux instances de pilotage ainsi qu’aux activités de médiation prévues.</w:t>
      </w:r>
      <w:r w:rsidR="0023368E">
        <w:rPr>
          <w:sz w:val="24"/>
          <w:szCs w:val="24"/>
          <w:lang w:val="fr-FR"/>
        </w:rPr>
        <w:t xml:space="preserve"> </w:t>
      </w:r>
      <w:r w:rsidR="0023368E" w:rsidRPr="00F30DD4">
        <w:rPr>
          <w:sz w:val="24"/>
          <w:szCs w:val="24"/>
          <w:lang w:val="fr-FR"/>
        </w:rPr>
        <w:t>Les co-directions de thèse sont également encouragées, avec des possibilités de financements apportées par les institutions du consortium porteur de la proposition.</w:t>
      </w:r>
    </w:p>
    <w:p w14:paraId="5B16248F" w14:textId="48991101" w:rsidR="0028468A" w:rsidRPr="005F059E" w:rsidRDefault="0028468A" w:rsidP="004E03BC">
      <w:pPr>
        <w:jc w:val="both"/>
        <w:rPr>
          <w:sz w:val="24"/>
          <w:szCs w:val="24"/>
          <w:lang w:val="fr-FR"/>
        </w:rPr>
      </w:pPr>
    </w:p>
    <w:p w14:paraId="7D43428A" w14:textId="057E5256" w:rsidR="00C2093F" w:rsidRDefault="00C2093F" w:rsidP="00F30DD4">
      <w:pPr>
        <w:jc w:val="both"/>
        <w:rPr>
          <w:sz w:val="24"/>
          <w:szCs w:val="24"/>
          <w:lang w:val="fr-FR"/>
        </w:rPr>
      </w:pPr>
    </w:p>
    <w:p w14:paraId="185CB4DA" w14:textId="77777777" w:rsidR="00C2093F" w:rsidRPr="004F451A" w:rsidRDefault="009F744D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Calendrier</w:t>
      </w:r>
    </w:p>
    <w:p w14:paraId="409E68A6" w14:textId="75DEC94A" w:rsidR="004E1364" w:rsidRPr="00CD4B1C" w:rsidRDefault="00341605" w:rsidP="00CD4B1C">
      <w:pPr>
        <w:pStyle w:val="Paragraphedeliste"/>
        <w:numPr>
          <w:ilvl w:val="0"/>
          <w:numId w:val="15"/>
        </w:numPr>
        <w:jc w:val="both"/>
        <w:rPr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>1</w:t>
      </w:r>
      <w:r w:rsidR="00CD4B1C">
        <w:rPr>
          <w:i/>
          <w:iCs/>
          <w:sz w:val="24"/>
          <w:szCs w:val="24"/>
          <w:lang w:val="fr-FR"/>
        </w:rPr>
        <w:t>7</w:t>
      </w:r>
      <w:r w:rsidRPr="00FE67FE">
        <w:rPr>
          <w:i/>
          <w:iCs/>
          <w:sz w:val="24"/>
          <w:szCs w:val="24"/>
          <w:lang w:val="fr-FR"/>
        </w:rPr>
        <w:t xml:space="preserve"> </w:t>
      </w:r>
      <w:r w:rsidR="0023368E">
        <w:rPr>
          <w:i/>
          <w:iCs/>
          <w:sz w:val="24"/>
          <w:szCs w:val="24"/>
          <w:lang w:val="fr-FR"/>
        </w:rPr>
        <w:t>novembre</w:t>
      </w:r>
      <w:r w:rsidR="0023368E" w:rsidRPr="00FE67FE">
        <w:rPr>
          <w:i/>
          <w:iCs/>
          <w:sz w:val="24"/>
          <w:szCs w:val="24"/>
          <w:lang w:val="fr-FR"/>
        </w:rPr>
        <w:t xml:space="preserve"> </w:t>
      </w:r>
      <w:r w:rsidR="009F744D" w:rsidRPr="00FE67FE">
        <w:rPr>
          <w:i/>
          <w:iCs/>
          <w:sz w:val="24"/>
          <w:szCs w:val="24"/>
          <w:lang w:val="fr-FR"/>
        </w:rPr>
        <w:t>2025</w:t>
      </w:r>
      <w:r w:rsidR="009F744D" w:rsidRPr="004F451A">
        <w:rPr>
          <w:sz w:val="24"/>
          <w:szCs w:val="24"/>
          <w:lang w:val="fr-FR"/>
        </w:rPr>
        <w:t xml:space="preserve"> : publication de l’AMI</w:t>
      </w:r>
    </w:p>
    <w:p w14:paraId="14FB09E2" w14:textId="5CBFA6FC" w:rsidR="004F451A" w:rsidRDefault="004E1364" w:rsidP="004F451A">
      <w:pPr>
        <w:pStyle w:val="Paragraphedeliste"/>
        <w:numPr>
          <w:ilvl w:val="0"/>
          <w:numId w:val="15"/>
        </w:numPr>
        <w:jc w:val="both"/>
        <w:rPr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>30</w:t>
      </w:r>
      <w:r w:rsidR="00341605">
        <w:rPr>
          <w:i/>
          <w:iCs/>
          <w:sz w:val="24"/>
          <w:szCs w:val="24"/>
          <w:lang w:val="fr-FR"/>
        </w:rPr>
        <w:t xml:space="preserve"> janvier</w:t>
      </w:r>
      <w:r w:rsidR="0023368E" w:rsidRPr="00FE67FE">
        <w:rPr>
          <w:i/>
          <w:iCs/>
          <w:sz w:val="24"/>
          <w:szCs w:val="24"/>
          <w:lang w:val="fr-FR"/>
        </w:rPr>
        <w:t xml:space="preserve"> </w:t>
      </w:r>
      <w:r w:rsidR="00FE67FE" w:rsidRPr="00FE67FE">
        <w:rPr>
          <w:i/>
          <w:iCs/>
          <w:sz w:val="24"/>
          <w:szCs w:val="24"/>
          <w:lang w:val="fr-FR"/>
        </w:rPr>
        <w:t>202</w:t>
      </w:r>
      <w:r>
        <w:rPr>
          <w:i/>
          <w:iCs/>
          <w:sz w:val="24"/>
          <w:szCs w:val="24"/>
          <w:lang w:val="fr-FR"/>
        </w:rPr>
        <w:t>6</w:t>
      </w:r>
      <w:r w:rsidR="00FE67FE" w:rsidRPr="004F451A">
        <w:rPr>
          <w:sz w:val="24"/>
          <w:szCs w:val="24"/>
          <w:lang w:val="fr-FR"/>
        </w:rPr>
        <w:t xml:space="preserve"> : date limite de dépôt des propositions</w:t>
      </w:r>
    </w:p>
    <w:p w14:paraId="7DB6DAEB" w14:textId="1CD86CE6" w:rsidR="004F451A" w:rsidRDefault="004E1364" w:rsidP="004F451A">
      <w:pPr>
        <w:pStyle w:val="Paragraphedeliste"/>
        <w:numPr>
          <w:ilvl w:val="0"/>
          <w:numId w:val="15"/>
        </w:numPr>
        <w:jc w:val="both"/>
        <w:rPr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>28 février</w:t>
      </w:r>
      <w:r w:rsidR="009F744D" w:rsidRPr="00FE67FE">
        <w:rPr>
          <w:i/>
          <w:iCs/>
          <w:sz w:val="24"/>
          <w:szCs w:val="24"/>
          <w:lang w:val="fr-FR"/>
        </w:rPr>
        <w:t xml:space="preserve"> 202</w:t>
      </w:r>
      <w:r>
        <w:rPr>
          <w:i/>
          <w:iCs/>
          <w:sz w:val="24"/>
          <w:szCs w:val="24"/>
          <w:lang w:val="fr-FR"/>
        </w:rPr>
        <w:t>6</w:t>
      </w:r>
      <w:r w:rsidR="009F744D" w:rsidRPr="004F451A">
        <w:rPr>
          <w:sz w:val="24"/>
          <w:szCs w:val="24"/>
          <w:lang w:val="fr-FR"/>
        </w:rPr>
        <w:t xml:space="preserve"> : retour aux déposants et intégration des propositions retenues dans la préparation de la phase 2</w:t>
      </w:r>
    </w:p>
    <w:p w14:paraId="6AF975EF" w14:textId="77777777" w:rsidR="00C2093F" w:rsidRPr="004F451A" w:rsidRDefault="009F744D" w:rsidP="004F451A">
      <w:pPr>
        <w:pStyle w:val="Paragraphedeliste"/>
        <w:numPr>
          <w:ilvl w:val="0"/>
          <w:numId w:val="15"/>
        </w:numPr>
        <w:jc w:val="both"/>
        <w:rPr>
          <w:sz w:val="24"/>
          <w:szCs w:val="24"/>
          <w:lang w:val="fr-FR"/>
        </w:rPr>
      </w:pPr>
      <w:r w:rsidRPr="00FE67FE">
        <w:rPr>
          <w:i/>
          <w:iCs/>
          <w:sz w:val="24"/>
          <w:szCs w:val="24"/>
          <w:lang w:val="fr-FR"/>
        </w:rPr>
        <w:t>Automne 2026</w:t>
      </w:r>
      <w:r w:rsidRPr="004F451A">
        <w:rPr>
          <w:sz w:val="24"/>
          <w:szCs w:val="24"/>
          <w:lang w:val="fr-FR"/>
        </w:rPr>
        <w:t xml:space="preserve"> : démarrage de la phase 2 du PC7</w:t>
      </w:r>
    </w:p>
    <w:p w14:paraId="7F2E48BB" w14:textId="77777777" w:rsidR="00C2093F" w:rsidRPr="004F451A" w:rsidRDefault="009F744D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Contenu attendu des propositions</w:t>
      </w:r>
    </w:p>
    <w:p w14:paraId="281267BB" w14:textId="0862B027" w:rsidR="00F30DD4" w:rsidRPr="00F30DD4" w:rsidRDefault="00F30DD4" w:rsidP="004F451A">
      <w:pPr>
        <w:jc w:val="both"/>
        <w:rPr>
          <w:sz w:val="24"/>
          <w:szCs w:val="24"/>
          <w:lang w:val="fr-FR"/>
        </w:rPr>
      </w:pPr>
      <w:r w:rsidRPr="00F30DD4">
        <w:rPr>
          <w:sz w:val="24"/>
          <w:szCs w:val="24"/>
          <w:lang w:val="fr-FR"/>
        </w:rPr>
        <w:t>Les propositions (5 pages maximum</w:t>
      </w:r>
      <w:r w:rsidR="00950A39">
        <w:rPr>
          <w:sz w:val="24"/>
          <w:szCs w:val="24"/>
          <w:lang w:val="fr-FR"/>
        </w:rPr>
        <w:t>, incluant tableau</w:t>
      </w:r>
      <w:r w:rsidR="002805E2">
        <w:rPr>
          <w:sz w:val="24"/>
          <w:szCs w:val="24"/>
          <w:lang w:val="fr-FR"/>
        </w:rPr>
        <w:t>x</w:t>
      </w:r>
      <w:r w:rsidR="00950A39">
        <w:rPr>
          <w:sz w:val="24"/>
          <w:szCs w:val="24"/>
          <w:lang w:val="fr-FR"/>
        </w:rPr>
        <w:t>, illustrations et références</w:t>
      </w:r>
      <w:r w:rsidRPr="00F30DD4">
        <w:rPr>
          <w:sz w:val="24"/>
          <w:szCs w:val="24"/>
          <w:lang w:val="fr-FR"/>
        </w:rPr>
        <w:t xml:space="preserve">) </w:t>
      </w:r>
      <w:r>
        <w:rPr>
          <w:sz w:val="24"/>
          <w:szCs w:val="24"/>
          <w:lang w:val="fr-FR"/>
        </w:rPr>
        <w:t xml:space="preserve">pourront encore évoluer lors </w:t>
      </w:r>
      <w:r w:rsidR="0023368E">
        <w:rPr>
          <w:sz w:val="24"/>
          <w:szCs w:val="24"/>
          <w:lang w:val="fr-FR"/>
        </w:rPr>
        <w:t xml:space="preserve">de la </w:t>
      </w:r>
      <w:r>
        <w:rPr>
          <w:sz w:val="24"/>
          <w:szCs w:val="24"/>
          <w:lang w:val="fr-FR"/>
        </w:rPr>
        <w:t xml:space="preserve">phase de co-construction </w:t>
      </w:r>
      <w:r w:rsidR="0023368E">
        <w:rPr>
          <w:sz w:val="24"/>
          <w:szCs w:val="24"/>
          <w:lang w:val="fr-FR"/>
        </w:rPr>
        <w:t xml:space="preserve">au </w:t>
      </w:r>
      <w:r w:rsidR="00BB0BE1">
        <w:rPr>
          <w:sz w:val="24"/>
          <w:szCs w:val="24"/>
          <w:lang w:val="fr-FR"/>
        </w:rPr>
        <w:t>jusqu’à</w:t>
      </w:r>
      <w:r>
        <w:rPr>
          <w:sz w:val="24"/>
          <w:szCs w:val="24"/>
          <w:lang w:val="fr-FR"/>
        </w:rPr>
        <w:t xml:space="preserve"> </w:t>
      </w:r>
      <w:r w:rsidR="00BB0BE1">
        <w:rPr>
          <w:sz w:val="24"/>
          <w:szCs w:val="24"/>
          <w:lang w:val="fr-FR"/>
        </w:rPr>
        <w:t xml:space="preserve">mi </w:t>
      </w:r>
      <w:r>
        <w:rPr>
          <w:sz w:val="24"/>
          <w:szCs w:val="24"/>
          <w:lang w:val="fr-FR"/>
        </w:rPr>
        <w:t>2026</w:t>
      </w:r>
      <w:r w:rsidRPr="00F30DD4">
        <w:rPr>
          <w:sz w:val="24"/>
          <w:szCs w:val="24"/>
          <w:lang w:val="fr-FR"/>
        </w:rPr>
        <w:t xml:space="preserve"> et </w:t>
      </w:r>
      <w:r w:rsidR="00502C17">
        <w:rPr>
          <w:sz w:val="24"/>
          <w:szCs w:val="24"/>
          <w:lang w:val="fr-FR"/>
        </w:rPr>
        <w:t>notamment être associé</w:t>
      </w:r>
      <w:r w:rsidR="0023368E">
        <w:rPr>
          <w:sz w:val="24"/>
          <w:szCs w:val="24"/>
          <w:lang w:val="fr-FR"/>
        </w:rPr>
        <w:t>e</w:t>
      </w:r>
      <w:r w:rsidR="00502C17">
        <w:rPr>
          <w:sz w:val="24"/>
          <w:szCs w:val="24"/>
          <w:lang w:val="fr-FR"/>
        </w:rPr>
        <w:t>s à des propositions venues</w:t>
      </w:r>
      <w:r w:rsidRPr="00F30DD4">
        <w:rPr>
          <w:sz w:val="24"/>
          <w:szCs w:val="24"/>
          <w:lang w:val="fr-FR"/>
        </w:rPr>
        <w:t xml:space="preserve"> d’autres équipes. Si elles sont retenues, le comité de pilotage du PC</w:t>
      </w:r>
      <w:r w:rsidR="0093199E">
        <w:rPr>
          <w:sz w:val="24"/>
          <w:szCs w:val="24"/>
          <w:lang w:val="fr-FR"/>
        </w:rPr>
        <w:t>7</w:t>
      </w:r>
      <w:r w:rsidRPr="00F30DD4">
        <w:rPr>
          <w:sz w:val="24"/>
          <w:szCs w:val="24"/>
          <w:lang w:val="fr-FR"/>
        </w:rPr>
        <w:t xml:space="preserve"> pourra proposer des associations. </w:t>
      </w:r>
    </w:p>
    <w:p w14:paraId="4FE2B4DF" w14:textId="4D0C9066" w:rsidR="004F451A" w:rsidRPr="004F451A" w:rsidRDefault="0023368E" w:rsidP="004F451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propositions </w:t>
      </w:r>
      <w:r w:rsidR="009F744D" w:rsidRPr="004F451A">
        <w:rPr>
          <w:sz w:val="24"/>
          <w:szCs w:val="24"/>
          <w:lang w:val="fr-FR"/>
        </w:rPr>
        <w:t>devront inclure</w:t>
      </w:r>
      <w:r w:rsidR="004F451A">
        <w:rPr>
          <w:sz w:val="24"/>
          <w:szCs w:val="24"/>
          <w:lang w:val="fr-FR"/>
        </w:rPr>
        <w:t> :</w:t>
      </w:r>
    </w:p>
    <w:p w14:paraId="4741BE5B" w14:textId="7AC5DBFA" w:rsidR="004F451A" w:rsidRDefault="00950A39" w:rsidP="004F451A">
      <w:pPr>
        <w:pStyle w:val="Paragraphedeliste"/>
        <w:numPr>
          <w:ilvl w:val="0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Enjeux spécifiques, </w:t>
      </w:r>
      <w:r w:rsidR="009F744D" w:rsidRPr="004F451A">
        <w:rPr>
          <w:sz w:val="24"/>
          <w:szCs w:val="24"/>
          <w:lang w:val="fr-FR"/>
        </w:rPr>
        <w:t>objectifs, méthodologie et partenariats envisagés</w:t>
      </w:r>
      <w:r w:rsidR="0023368E">
        <w:rPr>
          <w:sz w:val="24"/>
          <w:szCs w:val="24"/>
          <w:lang w:val="fr-FR"/>
        </w:rPr>
        <w:t xml:space="preserve"> pour une expérimentation sur la période 2026-203</w:t>
      </w:r>
      <w:r w:rsidR="00CD4B1C">
        <w:rPr>
          <w:sz w:val="24"/>
          <w:szCs w:val="24"/>
          <w:lang w:val="fr-FR"/>
        </w:rPr>
        <w:t>0</w:t>
      </w:r>
      <w:r w:rsidR="0023368E">
        <w:rPr>
          <w:sz w:val="24"/>
          <w:szCs w:val="24"/>
          <w:lang w:val="fr-FR"/>
        </w:rPr>
        <w:t xml:space="preserve"> (deux pages)</w:t>
      </w:r>
    </w:p>
    <w:p w14:paraId="072B3294" w14:textId="10A9CA88" w:rsidR="00950A39" w:rsidRDefault="000474FC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Originalité de la proposition</w:t>
      </w:r>
      <w:r w:rsidR="00950A39">
        <w:rPr>
          <w:sz w:val="24"/>
          <w:szCs w:val="24"/>
          <w:lang w:val="fr-FR"/>
        </w:rPr>
        <w:t xml:space="preserve"> allant au-delà de l’état de l’art</w:t>
      </w:r>
      <w:r>
        <w:rPr>
          <w:sz w:val="24"/>
          <w:szCs w:val="24"/>
          <w:lang w:val="fr-FR"/>
        </w:rPr>
        <w:t xml:space="preserve"> </w:t>
      </w:r>
    </w:p>
    <w:p w14:paraId="1640BAB6" w14:textId="7D7857F8" w:rsidR="00950A39" w:rsidRDefault="00950A39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</w:t>
      </w:r>
      <w:r w:rsidR="001825D8">
        <w:rPr>
          <w:sz w:val="24"/>
          <w:szCs w:val="24"/>
          <w:lang w:val="fr-FR"/>
        </w:rPr>
        <w:t>onnexions concrètes avec autres PC et défis de OneWater</w:t>
      </w:r>
    </w:p>
    <w:p w14:paraId="40307FC0" w14:textId="02B3B062" w:rsidR="000474FC" w:rsidRDefault="00950A39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</w:t>
      </w:r>
      <w:r w:rsidRPr="004F451A">
        <w:rPr>
          <w:sz w:val="24"/>
          <w:szCs w:val="24"/>
          <w:lang w:val="fr-FR"/>
        </w:rPr>
        <w:t>cteurs impliqués (académiques</w:t>
      </w:r>
      <w:r>
        <w:rPr>
          <w:sz w:val="24"/>
          <w:szCs w:val="24"/>
          <w:lang w:val="fr-FR"/>
        </w:rPr>
        <w:t> ;</w:t>
      </w:r>
      <w:r w:rsidRPr="004F451A">
        <w:rPr>
          <w:sz w:val="24"/>
          <w:szCs w:val="24"/>
          <w:lang w:val="fr-FR"/>
        </w:rPr>
        <w:t xml:space="preserve"> territoriaux</w:t>
      </w:r>
      <w:r>
        <w:rPr>
          <w:sz w:val="24"/>
          <w:szCs w:val="24"/>
          <w:lang w:val="fr-FR"/>
        </w:rPr>
        <w:t> ;</w:t>
      </w:r>
      <w:r w:rsidRPr="004F451A">
        <w:rPr>
          <w:sz w:val="24"/>
          <w:szCs w:val="24"/>
          <w:lang w:val="fr-FR"/>
        </w:rPr>
        <w:t xml:space="preserve"> associatifs</w:t>
      </w:r>
      <w:r>
        <w:rPr>
          <w:sz w:val="24"/>
          <w:szCs w:val="24"/>
          <w:lang w:val="fr-FR"/>
        </w:rPr>
        <w:t> ;</w:t>
      </w:r>
      <w:r w:rsidRPr="004F451A">
        <w:rPr>
          <w:sz w:val="24"/>
          <w:szCs w:val="24"/>
          <w:lang w:val="fr-FR"/>
        </w:rPr>
        <w:t xml:space="preserve"> économiques</w:t>
      </w:r>
      <w:r>
        <w:rPr>
          <w:sz w:val="24"/>
          <w:szCs w:val="24"/>
          <w:lang w:val="fr-FR"/>
        </w:rPr>
        <w:t> ;</w:t>
      </w:r>
      <w:r w:rsidRPr="004F451A">
        <w:rPr>
          <w:sz w:val="24"/>
          <w:szCs w:val="24"/>
          <w:lang w:val="fr-FR"/>
        </w:rPr>
        <w:t xml:space="preserve"> citoyens</w:t>
      </w:r>
      <w:r>
        <w:rPr>
          <w:sz w:val="24"/>
          <w:szCs w:val="24"/>
          <w:lang w:val="fr-FR"/>
        </w:rPr>
        <w:t>, etc.</w:t>
      </w:r>
      <w:r w:rsidRPr="004F451A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r w:rsidRPr="00160D24">
        <w:rPr>
          <w:sz w:val="24"/>
          <w:szCs w:val="24"/>
          <w:lang w:val="fr-FR"/>
        </w:rPr>
        <w:t>en précisant Nom/Fonction, Établissement, Rôle dans le projet, % d’implication</w:t>
      </w:r>
      <w:r>
        <w:rPr>
          <w:sz w:val="24"/>
          <w:szCs w:val="24"/>
          <w:lang w:val="fr-FR"/>
        </w:rPr>
        <w:t xml:space="preserve"> et décrivant l</w:t>
      </w:r>
      <w:r w:rsidR="008919FD">
        <w:rPr>
          <w:sz w:val="24"/>
          <w:szCs w:val="24"/>
          <w:lang w:val="fr-FR"/>
        </w:rPr>
        <w:t>es</w:t>
      </w:r>
      <w:r>
        <w:rPr>
          <w:sz w:val="24"/>
          <w:szCs w:val="24"/>
          <w:lang w:val="fr-FR"/>
        </w:rPr>
        <w:t xml:space="preserve"> c</w:t>
      </w:r>
      <w:r w:rsidR="000474FC">
        <w:rPr>
          <w:sz w:val="24"/>
          <w:szCs w:val="24"/>
          <w:lang w:val="fr-FR"/>
        </w:rPr>
        <w:t xml:space="preserve">apacités </w:t>
      </w:r>
      <w:r>
        <w:rPr>
          <w:sz w:val="24"/>
          <w:szCs w:val="24"/>
          <w:lang w:val="fr-FR"/>
        </w:rPr>
        <w:t xml:space="preserve">du consortium </w:t>
      </w:r>
      <w:r w:rsidR="008919FD">
        <w:rPr>
          <w:sz w:val="24"/>
          <w:szCs w:val="24"/>
          <w:lang w:val="fr-FR"/>
        </w:rPr>
        <w:t>pour</w:t>
      </w:r>
      <w:r>
        <w:rPr>
          <w:sz w:val="24"/>
          <w:szCs w:val="24"/>
          <w:lang w:val="fr-FR"/>
        </w:rPr>
        <w:t xml:space="preserve"> </w:t>
      </w:r>
      <w:r w:rsidR="000474FC">
        <w:rPr>
          <w:sz w:val="24"/>
          <w:szCs w:val="24"/>
          <w:lang w:val="fr-FR"/>
        </w:rPr>
        <w:t>réalis</w:t>
      </w:r>
      <w:r w:rsidR="008919FD">
        <w:rPr>
          <w:sz w:val="24"/>
          <w:szCs w:val="24"/>
          <w:lang w:val="fr-FR"/>
        </w:rPr>
        <w:t>er</w:t>
      </w:r>
      <w:r>
        <w:rPr>
          <w:sz w:val="24"/>
          <w:szCs w:val="24"/>
          <w:lang w:val="fr-FR"/>
        </w:rPr>
        <w:t xml:space="preserve"> le projet</w:t>
      </w:r>
    </w:p>
    <w:p w14:paraId="1FA1C8A9" w14:textId="18EF7E61" w:rsidR="004F451A" w:rsidRDefault="009F744D" w:rsidP="0023368E">
      <w:pPr>
        <w:pStyle w:val="Paragraphedeliste"/>
        <w:numPr>
          <w:ilvl w:val="0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Territoire concerné </w:t>
      </w:r>
    </w:p>
    <w:p w14:paraId="4547774F" w14:textId="70651D6C" w:rsidR="0023368E" w:rsidRDefault="0023368E" w:rsidP="004F451A">
      <w:pPr>
        <w:pStyle w:val="Paragraphedeliste"/>
        <w:numPr>
          <w:ilvl w:val="0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Description du </w:t>
      </w:r>
      <w:r w:rsidR="002F27A8">
        <w:rPr>
          <w:sz w:val="24"/>
          <w:szCs w:val="24"/>
          <w:lang w:val="fr-FR"/>
        </w:rPr>
        <w:t xml:space="preserve">travail réalisé lors du </w:t>
      </w:r>
      <w:r>
        <w:rPr>
          <w:sz w:val="24"/>
          <w:szCs w:val="24"/>
          <w:lang w:val="fr-FR"/>
        </w:rPr>
        <w:t>temps d’amorçage</w:t>
      </w:r>
      <w:r w:rsidR="00B1091D">
        <w:rPr>
          <w:sz w:val="24"/>
          <w:szCs w:val="24"/>
          <w:lang w:val="fr-FR"/>
        </w:rPr>
        <w:t xml:space="preserve"> </w:t>
      </w:r>
      <w:r w:rsidR="002F27A8">
        <w:rPr>
          <w:sz w:val="24"/>
          <w:szCs w:val="24"/>
          <w:lang w:val="fr-FR"/>
        </w:rPr>
        <w:t>de mi-2026-mi</w:t>
      </w:r>
      <w:r w:rsidR="00F2637F">
        <w:rPr>
          <w:sz w:val="24"/>
          <w:szCs w:val="24"/>
          <w:lang w:val="fr-FR"/>
        </w:rPr>
        <w:t xml:space="preserve"> </w:t>
      </w:r>
      <w:r w:rsidR="002F27A8">
        <w:rPr>
          <w:sz w:val="24"/>
          <w:szCs w:val="24"/>
          <w:lang w:val="fr-FR"/>
        </w:rPr>
        <w:t xml:space="preserve">2027 </w:t>
      </w:r>
      <w:r w:rsidR="00B1091D">
        <w:rPr>
          <w:sz w:val="24"/>
          <w:szCs w:val="24"/>
          <w:lang w:val="fr-FR"/>
        </w:rPr>
        <w:t>(2 pages)</w:t>
      </w:r>
      <w:r w:rsidR="002F27A8">
        <w:rPr>
          <w:sz w:val="24"/>
          <w:szCs w:val="24"/>
          <w:lang w:val="fr-FR"/>
        </w:rPr>
        <w:t xml:space="preserve"> </w:t>
      </w:r>
    </w:p>
    <w:p w14:paraId="094A481F" w14:textId="77777777" w:rsidR="0023368E" w:rsidRDefault="0023368E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Actions envisagées</w:t>
      </w:r>
      <w:bookmarkStart w:id="0" w:name="_GoBack"/>
      <w:bookmarkEnd w:id="0"/>
    </w:p>
    <w:p w14:paraId="5347B87E" w14:textId="4007FEBD" w:rsidR="0023368E" w:rsidRDefault="0023368E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Partenariat</w:t>
      </w:r>
      <w:r w:rsidR="00BE4AF4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 impliqué</w:t>
      </w:r>
      <w:r w:rsidR="00BE4AF4">
        <w:rPr>
          <w:sz w:val="24"/>
          <w:szCs w:val="24"/>
          <w:lang w:val="fr-FR"/>
        </w:rPr>
        <w:t>s</w:t>
      </w:r>
    </w:p>
    <w:p w14:paraId="09305BC9" w14:textId="7EF62204" w:rsidR="00B1091D" w:rsidRDefault="0023368E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Contexte </w:t>
      </w:r>
      <w:r w:rsidR="00B1091D">
        <w:rPr>
          <w:sz w:val="24"/>
          <w:szCs w:val="24"/>
          <w:lang w:val="fr-FR"/>
        </w:rPr>
        <w:t>initial</w:t>
      </w:r>
      <w:r w:rsidR="005F059E">
        <w:rPr>
          <w:sz w:val="24"/>
          <w:szCs w:val="24"/>
          <w:lang w:val="fr-FR"/>
        </w:rPr>
        <w:t xml:space="preserve"> de gouvernance de l’eau</w:t>
      </w:r>
    </w:p>
    <w:p w14:paraId="1C9BC20E" w14:textId="0CED58FE" w:rsidR="004F451A" w:rsidRDefault="009F744D" w:rsidP="005F059E">
      <w:pPr>
        <w:pStyle w:val="Paragraphedeliste"/>
        <w:numPr>
          <w:ilvl w:val="1"/>
          <w:numId w:val="17"/>
        </w:numPr>
        <w:jc w:val="both"/>
        <w:rPr>
          <w:sz w:val="24"/>
          <w:szCs w:val="24"/>
          <w:lang w:val="fr-FR"/>
        </w:rPr>
      </w:pPr>
      <w:r w:rsidRPr="004F451A">
        <w:rPr>
          <w:sz w:val="24"/>
          <w:szCs w:val="24"/>
          <w:lang w:val="fr-FR"/>
        </w:rPr>
        <w:t xml:space="preserve">Budget </w:t>
      </w:r>
      <w:r w:rsidR="000474FC">
        <w:rPr>
          <w:sz w:val="24"/>
          <w:szCs w:val="24"/>
          <w:lang w:val="fr-FR"/>
        </w:rPr>
        <w:t xml:space="preserve">précis </w:t>
      </w:r>
      <w:r w:rsidR="0023368E">
        <w:rPr>
          <w:sz w:val="24"/>
          <w:szCs w:val="24"/>
          <w:lang w:val="fr-FR"/>
        </w:rPr>
        <w:t>pour le temps d’amorçage</w:t>
      </w:r>
      <w:r w:rsidR="002F27A8">
        <w:rPr>
          <w:sz w:val="24"/>
          <w:szCs w:val="24"/>
          <w:lang w:val="fr-FR"/>
        </w:rPr>
        <w:t xml:space="preserve"> (max 15 000€)</w:t>
      </w:r>
      <w:r w:rsidR="0023368E">
        <w:rPr>
          <w:sz w:val="24"/>
          <w:szCs w:val="24"/>
          <w:lang w:val="fr-FR"/>
        </w:rPr>
        <w:t xml:space="preserve">. </w:t>
      </w:r>
    </w:p>
    <w:p w14:paraId="1FA0F351" w14:textId="16DCBBD1" w:rsidR="00950A39" w:rsidRPr="005F059E" w:rsidRDefault="00950A39" w:rsidP="0023368E">
      <w:pPr>
        <w:pStyle w:val="Paragraphedeliste"/>
        <w:numPr>
          <w:ilvl w:val="0"/>
          <w:numId w:val="17"/>
        </w:numPr>
        <w:jc w:val="both"/>
        <w:rPr>
          <w:sz w:val="24"/>
          <w:szCs w:val="24"/>
          <w:lang w:val="fr-FR"/>
        </w:rPr>
      </w:pPr>
      <w:r w:rsidRPr="005F059E">
        <w:rPr>
          <w:sz w:val="24"/>
          <w:szCs w:val="24"/>
          <w:lang w:val="fr-FR"/>
        </w:rPr>
        <w:t>Livrables et éléments de dissémination</w:t>
      </w:r>
    </w:p>
    <w:p w14:paraId="1E705194" w14:textId="2EA38E3E" w:rsidR="004F451A" w:rsidRDefault="009F744D" w:rsidP="004F451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est attendu des équipes </w:t>
      </w:r>
      <w:r w:rsidR="00B1091D">
        <w:rPr>
          <w:sz w:val="24"/>
          <w:szCs w:val="24"/>
          <w:lang w:val="fr-FR"/>
        </w:rPr>
        <w:t>retenues</w:t>
      </w:r>
      <w:r>
        <w:rPr>
          <w:sz w:val="24"/>
          <w:szCs w:val="24"/>
          <w:lang w:val="fr-FR"/>
        </w:rPr>
        <w:t xml:space="preserve"> qu’elles contribuent à l’animation des ateliers de mutualisation des résultats et au travail de valorisation</w:t>
      </w:r>
      <w:r w:rsidR="00B1091D">
        <w:rPr>
          <w:sz w:val="24"/>
          <w:szCs w:val="24"/>
          <w:lang w:val="fr-FR"/>
        </w:rPr>
        <w:t xml:space="preserve"> du PC7.</w:t>
      </w:r>
    </w:p>
    <w:p w14:paraId="55F660F9" w14:textId="77777777" w:rsidR="004F451A" w:rsidRPr="004F451A" w:rsidRDefault="004F451A" w:rsidP="004F451A">
      <w:pPr>
        <w:pStyle w:val="Titre2"/>
        <w:jc w:val="both"/>
        <w:rPr>
          <w:rFonts w:asciiTheme="minorHAnsi" w:hAnsiTheme="minorHAnsi"/>
          <w:sz w:val="28"/>
          <w:szCs w:val="28"/>
          <w:lang w:val="fr-FR"/>
        </w:rPr>
      </w:pPr>
      <w:r w:rsidRPr="004F451A">
        <w:rPr>
          <w:rFonts w:asciiTheme="minorHAnsi" w:hAnsiTheme="minorHAnsi"/>
          <w:sz w:val="28"/>
          <w:szCs w:val="28"/>
          <w:lang w:val="fr-FR"/>
        </w:rPr>
        <w:t>Résultats attendus</w:t>
      </w:r>
    </w:p>
    <w:p w14:paraId="67F311DD" w14:textId="70348652" w:rsidR="004F451A" w:rsidRPr="000474FC" w:rsidRDefault="009F744D" w:rsidP="004F451A">
      <w:pPr>
        <w:jc w:val="both"/>
        <w:rPr>
          <w:sz w:val="24"/>
          <w:szCs w:val="24"/>
          <w:lang w:val="fr-FR"/>
        </w:rPr>
      </w:pPr>
      <w:r w:rsidRPr="000474FC">
        <w:rPr>
          <w:sz w:val="24"/>
          <w:szCs w:val="24"/>
          <w:lang w:val="fr-FR"/>
        </w:rPr>
        <w:t xml:space="preserve">Les résultats attendus des projets </w:t>
      </w:r>
      <w:r w:rsidR="00160D24">
        <w:rPr>
          <w:sz w:val="24"/>
          <w:szCs w:val="24"/>
          <w:lang w:val="fr-FR"/>
        </w:rPr>
        <w:t>associés</w:t>
      </w:r>
      <w:r w:rsidRPr="000474FC">
        <w:rPr>
          <w:sz w:val="24"/>
          <w:szCs w:val="24"/>
          <w:lang w:val="fr-FR"/>
        </w:rPr>
        <w:t xml:space="preserve"> au PC7 devront </w:t>
      </w:r>
      <w:r w:rsidR="00811231">
        <w:rPr>
          <w:sz w:val="24"/>
          <w:szCs w:val="24"/>
          <w:lang w:val="fr-FR"/>
        </w:rPr>
        <w:t xml:space="preserve">ensemble </w:t>
      </w:r>
      <w:r w:rsidRPr="000474FC">
        <w:rPr>
          <w:sz w:val="24"/>
          <w:szCs w:val="24"/>
          <w:lang w:val="fr-FR"/>
        </w:rPr>
        <w:t>contribuer à produire des avancées concrètes pour la gouvernance de l’eau comme commun</w:t>
      </w:r>
      <w:r w:rsidR="004F451A" w:rsidRPr="000474FC">
        <w:rPr>
          <w:sz w:val="24"/>
          <w:szCs w:val="24"/>
          <w:lang w:val="fr-FR"/>
        </w:rPr>
        <w:t> </w:t>
      </w:r>
      <w:r w:rsidR="00BE4AF4">
        <w:rPr>
          <w:sz w:val="24"/>
          <w:szCs w:val="24"/>
          <w:lang w:val="fr-FR"/>
        </w:rPr>
        <w:t xml:space="preserve">pour répondre aux objectifs du programme OneWater – Eau Bien Commun </w:t>
      </w:r>
      <w:r w:rsidR="004F451A" w:rsidRPr="000474FC">
        <w:rPr>
          <w:sz w:val="24"/>
          <w:szCs w:val="24"/>
          <w:lang w:val="fr-FR"/>
        </w:rPr>
        <w:t>:</w:t>
      </w:r>
    </w:p>
    <w:p w14:paraId="11ACDCD4" w14:textId="5BEFA1C0" w:rsidR="00E9602E" w:rsidRPr="00E9602E" w:rsidRDefault="00E9602E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9602E">
        <w:rPr>
          <w:sz w:val="24"/>
          <w:szCs w:val="24"/>
          <w:lang w:val="fr-FR"/>
        </w:rPr>
        <w:t xml:space="preserve">Tester des modèles de gouvernance </w:t>
      </w:r>
      <w:r w:rsidR="0093199E">
        <w:rPr>
          <w:sz w:val="24"/>
          <w:szCs w:val="24"/>
          <w:lang w:val="fr-FR"/>
        </w:rPr>
        <w:t xml:space="preserve">adaptatif et </w:t>
      </w:r>
      <w:r w:rsidR="00502C17">
        <w:rPr>
          <w:sz w:val="24"/>
          <w:szCs w:val="24"/>
          <w:lang w:val="fr-FR"/>
        </w:rPr>
        <w:t>inclusif</w:t>
      </w:r>
      <w:r w:rsidRPr="00E9602E">
        <w:rPr>
          <w:sz w:val="24"/>
          <w:szCs w:val="24"/>
          <w:lang w:val="fr-FR"/>
        </w:rPr>
        <w:t xml:space="preserve"> intégrant humains et non-humains.</w:t>
      </w:r>
    </w:p>
    <w:p w14:paraId="2FA06937" w14:textId="2D473379" w:rsidR="00E9602E" w:rsidRPr="00E9602E" w:rsidRDefault="00E9602E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9602E">
        <w:rPr>
          <w:sz w:val="24"/>
          <w:szCs w:val="24"/>
          <w:lang w:val="fr-FR"/>
        </w:rPr>
        <w:t>Développer des outils et indicateurs pour représenter les besoins écologiques</w:t>
      </w:r>
      <w:r w:rsidR="00811231">
        <w:rPr>
          <w:sz w:val="24"/>
          <w:szCs w:val="24"/>
          <w:lang w:val="fr-FR"/>
        </w:rPr>
        <w:t xml:space="preserve"> et sociaux</w:t>
      </w:r>
      <w:r w:rsidRPr="00E9602E">
        <w:rPr>
          <w:sz w:val="24"/>
          <w:szCs w:val="24"/>
          <w:lang w:val="fr-FR"/>
        </w:rPr>
        <w:t xml:space="preserve"> dans la décision.</w:t>
      </w:r>
    </w:p>
    <w:p w14:paraId="37F11F4C" w14:textId="1113930D" w:rsidR="00E9602E" w:rsidRPr="00E9602E" w:rsidRDefault="00E9602E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9602E">
        <w:rPr>
          <w:sz w:val="24"/>
          <w:szCs w:val="24"/>
          <w:lang w:val="fr-FR"/>
        </w:rPr>
        <w:t>Expérimenter des démarches participatives transparentes et équitables.</w:t>
      </w:r>
    </w:p>
    <w:p w14:paraId="384A88EB" w14:textId="0C0DFEFC" w:rsidR="00E9602E" w:rsidRPr="00E9602E" w:rsidRDefault="00E9602E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9602E">
        <w:rPr>
          <w:sz w:val="24"/>
          <w:szCs w:val="24"/>
          <w:lang w:val="fr-FR"/>
        </w:rPr>
        <w:t>Capitaliser des retours d'expérience sur divers territoires pilotes.</w:t>
      </w:r>
    </w:p>
    <w:p w14:paraId="1E735ED6" w14:textId="1AD3E906" w:rsidR="00E9602E" w:rsidRDefault="00E9602E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9602E">
        <w:rPr>
          <w:sz w:val="24"/>
          <w:szCs w:val="24"/>
          <w:lang w:val="fr-FR"/>
        </w:rPr>
        <w:t>Produire des ressources diffusables pour élargir l’impact des innovations.</w:t>
      </w:r>
    </w:p>
    <w:p w14:paraId="4E9F4EEA" w14:textId="1C2F39A8" w:rsidR="00811231" w:rsidRPr="00E9602E" w:rsidRDefault="00811231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Tester la pertinence des protocoles et outils expérimentés et évalués sur des territoires nouveaux</w:t>
      </w:r>
    </w:p>
    <w:p w14:paraId="4B0A0BD0" w14:textId="3B10B0B2" w:rsidR="00E9602E" w:rsidRPr="00E9602E" w:rsidRDefault="00E9602E" w:rsidP="00E9602E">
      <w:pPr>
        <w:pStyle w:val="Paragraphedeliste"/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9602E">
        <w:rPr>
          <w:sz w:val="24"/>
          <w:szCs w:val="24"/>
          <w:lang w:val="fr-FR"/>
        </w:rPr>
        <w:t>Structurer une communauté interdisciplinaire autour de l’eau comme bien commun.</w:t>
      </w:r>
    </w:p>
    <w:p w14:paraId="42B9F781" w14:textId="19A9943F" w:rsidR="009F744D" w:rsidRDefault="009F744D" w:rsidP="004F451A">
      <w:pPr>
        <w:jc w:val="both"/>
        <w:rPr>
          <w:sz w:val="24"/>
          <w:szCs w:val="24"/>
          <w:lang w:val="fr-FR"/>
        </w:rPr>
      </w:pPr>
      <w:r w:rsidRPr="000474FC">
        <w:rPr>
          <w:sz w:val="24"/>
          <w:szCs w:val="24"/>
          <w:lang w:val="fr-FR"/>
        </w:rPr>
        <w:t xml:space="preserve">Ces résultats </w:t>
      </w:r>
      <w:r w:rsidR="009E2473">
        <w:rPr>
          <w:sz w:val="24"/>
          <w:szCs w:val="24"/>
          <w:lang w:val="fr-FR"/>
        </w:rPr>
        <w:t>serviront à</w:t>
      </w:r>
      <w:r w:rsidRPr="000474FC">
        <w:rPr>
          <w:sz w:val="24"/>
          <w:szCs w:val="24"/>
          <w:lang w:val="fr-FR"/>
        </w:rPr>
        <w:t xml:space="preserve"> alimenter la réflexion et l’action publique en matière de gouvernance de l’eau, et contribuer à inscrire durablement l’approche de l’eau comme commun dans les politiques environnementales et territoriales.</w:t>
      </w:r>
    </w:p>
    <w:p w14:paraId="6965435E" w14:textId="1B042BB8" w:rsidR="00F30DD4" w:rsidRPr="00F30DD4" w:rsidRDefault="00F30DD4" w:rsidP="00F30DD4">
      <w:pPr>
        <w:jc w:val="both"/>
        <w:rPr>
          <w:sz w:val="24"/>
          <w:szCs w:val="24"/>
          <w:lang w:val="fr-FR"/>
        </w:rPr>
      </w:pPr>
      <w:r w:rsidRPr="00F30DD4">
        <w:rPr>
          <w:sz w:val="24"/>
          <w:szCs w:val="24"/>
          <w:lang w:val="fr-FR"/>
        </w:rPr>
        <w:t xml:space="preserve">La sélection sera effectuée par le </w:t>
      </w:r>
      <w:r w:rsidR="009E2473">
        <w:rPr>
          <w:sz w:val="24"/>
          <w:szCs w:val="24"/>
          <w:lang w:val="fr-FR"/>
        </w:rPr>
        <w:t>c</w:t>
      </w:r>
      <w:r w:rsidRPr="00F30DD4">
        <w:rPr>
          <w:sz w:val="24"/>
          <w:szCs w:val="24"/>
          <w:lang w:val="fr-FR"/>
        </w:rPr>
        <w:t xml:space="preserve">omité de pilotage du PC7, en interaction </w:t>
      </w:r>
      <w:r w:rsidR="009B3B88">
        <w:rPr>
          <w:sz w:val="24"/>
          <w:szCs w:val="24"/>
          <w:lang w:val="fr-FR"/>
        </w:rPr>
        <w:t xml:space="preserve">étroite </w:t>
      </w:r>
      <w:r w:rsidRPr="00F30DD4">
        <w:rPr>
          <w:sz w:val="24"/>
          <w:szCs w:val="24"/>
          <w:lang w:val="fr-FR"/>
        </w:rPr>
        <w:t xml:space="preserve">avec le PC3 pour </w:t>
      </w:r>
      <w:r w:rsidR="009B3B88">
        <w:rPr>
          <w:sz w:val="24"/>
          <w:szCs w:val="24"/>
          <w:lang w:val="fr-FR"/>
        </w:rPr>
        <w:t xml:space="preserve">identifier </w:t>
      </w:r>
      <w:r w:rsidRPr="00F30DD4">
        <w:rPr>
          <w:sz w:val="24"/>
          <w:szCs w:val="24"/>
          <w:lang w:val="fr-FR"/>
        </w:rPr>
        <w:t>des territoires</w:t>
      </w:r>
      <w:r>
        <w:rPr>
          <w:sz w:val="24"/>
          <w:szCs w:val="24"/>
          <w:lang w:val="fr-FR"/>
        </w:rPr>
        <w:t xml:space="preserve"> d’étude commun</w:t>
      </w:r>
      <w:r w:rsidR="0093199E">
        <w:rPr>
          <w:sz w:val="24"/>
          <w:szCs w:val="24"/>
          <w:lang w:val="fr-FR"/>
        </w:rPr>
        <w:t>s</w:t>
      </w:r>
      <w:r w:rsidRPr="00F30DD4">
        <w:rPr>
          <w:sz w:val="24"/>
          <w:szCs w:val="24"/>
          <w:lang w:val="fr-FR"/>
        </w:rPr>
        <w:t>. Elle prendra en compte la qualité des propositions, leur contribution aux objectifs du PC7 mentionnés ci-dessus, leur caractère interdisciplinaire ainsi que l’implication des acteurs partenaires. L’arbitrage final veillera à ce que l’ensemble des objectifs du PC soient suffisamment couverts par les projets retenus</w:t>
      </w:r>
      <w:r w:rsidR="009B3B88">
        <w:rPr>
          <w:sz w:val="24"/>
          <w:szCs w:val="24"/>
          <w:lang w:val="fr-FR"/>
        </w:rPr>
        <w:t>.</w:t>
      </w:r>
      <w:r w:rsidR="00811231">
        <w:rPr>
          <w:sz w:val="24"/>
          <w:szCs w:val="24"/>
          <w:lang w:val="fr-FR"/>
        </w:rPr>
        <w:t xml:space="preserve"> </w:t>
      </w:r>
    </w:p>
    <w:p w14:paraId="6CD663DF" w14:textId="73579A6D" w:rsidR="00F30DD4" w:rsidRPr="00F30DD4" w:rsidRDefault="00F30DD4" w:rsidP="00F30DD4">
      <w:pPr>
        <w:jc w:val="both"/>
        <w:rPr>
          <w:sz w:val="24"/>
          <w:szCs w:val="24"/>
          <w:lang w:val="fr-FR"/>
        </w:rPr>
      </w:pPr>
      <w:r w:rsidRPr="00F30DD4">
        <w:rPr>
          <w:b/>
          <w:bCs/>
          <w:sz w:val="24"/>
          <w:szCs w:val="24"/>
          <w:lang w:val="fr-FR"/>
        </w:rPr>
        <w:t>NB.</w:t>
      </w:r>
      <w:r w:rsidRPr="00F30DD4">
        <w:rPr>
          <w:sz w:val="24"/>
          <w:szCs w:val="24"/>
          <w:lang w:val="fr-FR"/>
        </w:rPr>
        <w:t xml:space="preserve"> Les équipes souhaitant rejoindre le Comité de pilotage du PC</w:t>
      </w:r>
      <w:r w:rsidR="003A00CA">
        <w:rPr>
          <w:sz w:val="24"/>
          <w:szCs w:val="24"/>
          <w:lang w:val="fr-FR"/>
        </w:rPr>
        <w:t>7</w:t>
      </w:r>
      <w:r w:rsidRPr="00F30DD4">
        <w:rPr>
          <w:sz w:val="24"/>
          <w:szCs w:val="24"/>
          <w:lang w:val="fr-FR"/>
        </w:rPr>
        <w:t xml:space="preserve"> pour cette deuxième phase (à partir du 1er octobre 2026) peuvent se manifester indépendamment de ces propositions.</w:t>
      </w:r>
    </w:p>
    <w:p w14:paraId="1FFE6387" w14:textId="77777777" w:rsidR="004F451A" w:rsidRPr="004F451A" w:rsidRDefault="004F451A">
      <w:pPr>
        <w:pStyle w:val="Titre2"/>
        <w:jc w:val="both"/>
        <w:rPr>
          <w:rFonts w:asciiTheme="minorHAnsi" w:hAnsiTheme="minorHAnsi"/>
          <w:sz w:val="24"/>
          <w:szCs w:val="24"/>
          <w:lang w:val="fr-FR"/>
        </w:rPr>
      </w:pPr>
    </w:p>
    <w:sectPr w:rsidR="004F451A" w:rsidRPr="004F451A" w:rsidSect="000474FC">
      <w:footerReference w:type="even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70F236" w16cex:dateUtc="2025-11-06T10:28:00Z"/>
  <w16cex:commentExtensible w16cex:durableId="2CB8D57C" w16cex:dateUtc="2025-11-17T11:27:00Z"/>
  <w16cex:commentExtensible w16cex:durableId="2078E89D" w16cex:dateUtc="2025-11-06T10:35:00Z"/>
  <w16cex:commentExtensible w16cex:durableId="19DF28D2" w16cex:dateUtc="2025-11-17T11:25:00Z"/>
  <w16cex:commentExtensible w16cex:durableId="0F34FD03" w16cex:dateUtc="2025-11-06T10:36:00Z"/>
  <w16cex:commentExtensible w16cex:durableId="6887CE9B" w16cex:dateUtc="2025-11-06T10:43:00Z"/>
  <w16cex:commentExtensible w16cex:durableId="09B67C9D" w16cex:dateUtc="2025-11-17T11:22:00Z"/>
  <w16cex:commentExtensible w16cex:durableId="71335AC0" w16cex:dateUtc="2025-11-17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AEC2B" w16cid:durableId="1770F236"/>
  <w16cid:commentId w16cid:paraId="35FC5113" w16cid:durableId="2CB8D57C"/>
  <w16cid:commentId w16cid:paraId="7261EB1F" w16cid:durableId="2078E89D"/>
  <w16cid:commentId w16cid:paraId="43CA4FE1" w16cid:durableId="43CA4FE1"/>
  <w16cid:commentId w16cid:paraId="7908B8C5" w16cid:durableId="19DF28D2"/>
  <w16cid:commentId w16cid:paraId="0AC3511E" w16cid:durableId="0F34FD03"/>
  <w16cid:commentId w16cid:paraId="3A21938E" w16cid:durableId="6887CE9B"/>
  <w16cid:commentId w16cid:paraId="1D001EE5" w16cid:durableId="09B67C9D"/>
  <w16cid:commentId w16cid:paraId="1E3A429F" w16cid:durableId="71335A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880E0" w14:textId="77777777" w:rsidR="00934B7B" w:rsidRDefault="00934B7B" w:rsidP="000474FC">
      <w:pPr>
        <w:spacing w:after="0" w:line="240" w:lineRule="auto"/>
      </w:pPr>
      <w:r>
        <w:separator/>
      </w:r>
    </w:p>
  </w:endnote>
  <w:endnote w:type="continuationSeparator" w:id="0">
    <w:p w14:paraId="205E1FF8" w14:textId="77777777" w:rsidR="00934B7B" w:rsidRDefault="00934B7B" w:rsidP="0004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71481404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6E517D" w14:textId="77777777" w:rsidR="00341605" w:rsidRDefault="00341605" w:rsidP="009F744D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9391F8D" w14:textId="77777777" w:rsidR="00341605" w:rsidRDefault="003416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264572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920C1E" w14:textId="25C844C9" w:rsidR="00341605" w:rsidRDefault="00341605" w:rsidP="009F744D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D4B1C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E799EA" w14:textId="77777777" w:rsidR="00341605" w:rsidRDefault="003416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89B86" w14:textId="77777777" w:rsidR="00934B7B" w:rsidRDefault="00934B7B" w:rsidP="000474FC">
      <w:pPr>
        <w:spacing w:after="0" w:line="240" w:lineRule="auto"/>
      </w:pPr>
      <w:r>
        <w:separator/>
      </w:r>
    </w:p>
  </w:footnote>
  <w:footnote w:type="continuationSeparator" w:id="0">
    <w:p w14:paraId="744D8562" w14:textId="77777777" w:rsidR="00934B7B" w:rsidRDefault="00934B7B" w:rsidP="000474FC">
      <w:pPr>
        <w:spacing w:after="0" w:line="240" w:lineRule="auto"/>
      </w:pPr>
      <w:r>
        <w:continuationSeparator/>
      </w:r>
    </w:p>
  </w:footnote>
  <w:footnote w:id="1">
    <w:p w14:paraId="56969D30" w14:textId="51FF2FD8" w:rsidR="00341605" w:rsidRPr="00811231" w:rsidRDefault="00341605" w:rsidP="00502C17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 w:rsidRPr="002B1954">
        <w:rPr>
          <w:lang w:val="fr-FR"/>
        </w:rPr>
        <w:t xml:space="preserve"> </w:t>
      </w:r>
      <w:r>
        <w:rPr>
          <w:lang w:val="fr-FR"/>
        </w:rPr>
        <w:t xml:space="preserve">Par gouvernance adaptive et inclusive, nous voulons insister sur deux aspects de la gouvernance de l’eau comme commun : « adaptative » car elle permet la prise en compte des apprentissages dans un environnement changeant, et « inclusive » car elle prend en compte les points de vue, besoins et valeurs des différentes parties </w:t>
      </w:r>
      <w:r>
        <w:rPr>
          <w:lang w:val="fr-FR"/>
        </w:rPr>
        <w:t xml:space="preserve">prenantes potentielles, localisées sur un territoire traversé par des mêmes flux d’eau, que ceux-ci soient identifiés à partir de limites de bassin versant, de bassin d’alimentation de nappes, ou encore d’infrastructures de transfert d’eau ou de production d’énergie. </w:t>
      </w:r>
    </w:p>
  </w:footnote>
  <w:footnote w:id="2">
    <w:p w14:paraId="702C5891" w14:textId="68A5586E" w:rsidR="00341605" w:rsidRPr="00CD4B1C" w:rsidRDefault="00341605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Priorité sera donnée aux territoires où sont déployés des dispositifs d’observation </w:t>
      </w:r>
      <w:r w:rsidR="009C1E8A">
        <w:rPr>
          <w:lang w:val="fr-FR"/>
        </w:rPr>
        <w:t>pré-identifiés par le programme (cf site onewater.fr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35F6C"/>
    <w:multiLevelType w:val="hybridMultilevel"/>
    <w:tmpl w:val="05387382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E02F54"/>
    <w:multiLevelType w:val="hybridMultilevel"/>
    <w:tmpl w:val="E2D46C62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7613"/>
    <w:multiLevelType w:val="hybridMultilevel"/>
    <w:tmpl w:val="B23C5D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B4707"/>
    <w:multiLevelType w:val="hybridMultilevel"/>
    <w:tmpl w:val="51B853E4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F1CE7"/>
    <w:multiLevelType w:val="hybridMultilevel"/>
    <w:tmpl w:val="E57C420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E3645"/>
    <w:multiLevelType w:val="hybridMultilevel"/>
    <w:tmpl w:val="416E9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A479F"/>
    <w:multiLevelType w:val="hybridMultilevel"/>
    <w:tmpl w:val="5C5CD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0AF7"/>
    <w:multiLevelType w:val="hybridMultilevel"/>
    <w:tmpl w:val="CE1A643A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619BF"/>
    <w:multiLevelType w:val="hybridMultilevel"/>
    <w:tmpl w:val="B18CB4AC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A1A58"/>
    <w:multiLevelType w:val="hybridMultilevel"/>
    <w:tmpl w:val="60088312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A040F8"/>
    <w:multiLevelType w:val="hybridMultilevel"/>
    <w:tmpl w:val="39D8A1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00602"/>
    <w:multiLevelType w:val="hybridMultilevel"/>
    <w:tmpl w:val="3C3AD1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80915"/>
    <w:multiLevelType w:val="hybridMultilevel"/>
    <w:tmpl w:val="1F3C8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270FA"/>
    <w:multiLevelType w:val="hybridMultilevel"/>
    <w:tmpl w:val="CE728E3A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251F3"/>
    <w:multiLevelType w:val="hybridMultilevel"/>
    <w:tmpl w:val="4F000DB8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A1AA3"/>
    <w:multiLevelType w:val="hybridMultilevel"/>
    <w:tmpl w:val="51AC88E0"/>
    <w:lvl w:ilvl="0" w:tplc="ADDC5A7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D902EB"/>
    <w:multiLevelType w:val="hybridMultilevel"/>
    <w:tmpl w:val="DD48A17C"/>
    <w:lvl w:ilvl="0" w:tplc="1F8CB9D0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4"/>
  </w:num>
  <w:num w:numId="12">
    <w:abstractNumId w:val="20"/>
  </w:num>
  <w:num w:numId="13">
    <w:abstractNumId w:val="19"/>
  </w:num>
  <w:num w:numId="14">
    <w:abstractNumId w:val="11"/>
  </w:num>
  <w:num w:numId="15">
    <w:abstractNumId w:val="10"/>
  </w:num>
  <w:num w:numId="16">
    <w:abstractNumId w:val="22"/>
  </w:num>
  <w:num w:numId="17">
    <w:abstractNumId w:val="17"/>
  </w:num>
  <w:num w:numId="18">
    <w:abstractNumId w:val="23"/>
  </w:num>
  <w:num w:numId="19">
    <w:abstractNumId w:val="9"/>
  </w:num>
  <w:num w:numId="20">
    <w:abstractNumId w:val="16"/>
  </w:num>
  <w:num w:numId="21">
    <w:abstractNumId w:val="12"/>
  </w:num>
  <w:num w:numId="22">
    <w:abstractNumId w:val="18"/>
  </w:num>
  <w:num w:numId="23">
    <w:abstractNumId w:val="14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623"/>
    <w:rsid w:val="00014F88"/>
    <w:rsid w:val="00034616"/>
    <w:rsid w:val="000474FC"/>
    <w:rsid w:val="0006063C"/>
    <w:rsid w:val="000879AA"/>
    <w:rsid w:val="00094C11"/>
    <w:rsid w:val="000B7E83"/>
    <w:rsid w:val="000F3E2A"/>
    <w:rsid w:val="00131CEE"/>
    <w:rsid w:val="0015074B"/>
    <w:rsid w:val="00160D24"/>
    <w:rsid w:val="001825D8"/>
    <w:rsid w:val="00184B4C"/>
    <w:rsid w:val="001F4D84"/>
    <w:rsid w:val="0023368E"/>
    <w:rsid w:val="002805E2"/>
    <w:rsid w:val="0028468A"/>
    <w:rsid w:val="0029639D"/>
    <w:rsid w:val="00296ACA"/>
    <w:rsid w:val="002B1954"/>
    <w:rsid w:val="002F27A8"/>
    <w:rsid w:val="00326F90"/>
    <w:rsid w:val="00341605"/>
    <w:rsid w:val="00346BAE"/>
    <w:rsid w:val="00361855"/>
    <w:rsid w:val="003A00CA"/>
    <w:rsid w:val="003C7801"/>
    <w:rsid w:val="004226A5"/>
    <w:rsid w:val="0045150F"/>
    <w:rsid w:val="004953FB"/>
    <w:rsid w:val="004E03BC"/>
    <w:rsid w:val="004E1364"/>
    <w:rsid w:val="004F451A"/>
    <w:rsid w:val="00502C17"/>
    <w:rsid w:val="005249D5"/>
    <w:rsid w:val="00561557"/>
    <w:rsid w:val="00592CD1"/>
    <w:rsid w:val="005A38E0"/>
    <w:rsid w:val="005C253F"/>
    <w:rsid w:val="005E1604"/>
    <w:rsid w:val="005F059E"/>
    <w:rsid w:val="0062506A"/>
    <w:rsid w:val="00630401"/>
    <w:rsid w:val="00692AC1"/>
    <w:rsid w:val="006B63CA"/>
    <w:rsid w:val="006D5E10"/>
    <w:rsid w:val="006E645E"/>
    <w:rsid w:val="007116F3"/>
    <w:rsid w:val="00776B48"/>
    <w:rsid w:val="007E0431"/>
    <w:rsid w:val="007F2A09"/>
    <w:rsid w:val="00811231"/>
    <w:rsid w:val="00835478"/>
    <w:rsid w:val="008919FD"/>
    <w:rsid w:val="008C636F"/>
    <w:rsid w:val="00914B84"/>
    <w:rsid w:val="0093199E"/>
    <w:rsid w:val="0093202E"/>
    <w:rsid w:val="00934B7B"/>
    <w:rsid w:val="00950A39"/>
    <w:rsid w:val="009A2455"/>
    <w:rsid w:val="009B3B88"/>
    <w:rsid w:val="009C1E8A"/>
    <w:rsid w:val="009C799A"/>
    <w:rsid w:val="009E0E36"/>
    <w:rsid w:val="009E2473"/>
    <w:rsid w:val="009F744D"/>
    <w:rsid w:val="00A151CD"/>
    <w:rsid w:val="00A16CF2"/>
    <w:rsid w:val="00A17A1D"/>
    <w:rsid w:val="00AA1D8D"/>
    <w:rsid w:val="00AA3D51"/>
    <w:rsid w:val="00AB1165"/>
    <w:rsid w:val="00B1091D"/>
    <w:rsid w:val="00B21D2D"/>
    <w:rsid w:val="00B47730"/>
    <w:rsid w:val="00B749AD"/>
    <w:rsid w:val="00BB0BE1"/>
    <w:rsid w:val="00BB7D52"/>
    <w:rsid w:val="00BE4AF4"/>
    <w:rsid w:val="00C2093F"/>
    <w:rsid w:val="00C7333C"/>
    <w:rsid w:val="00CB0664"/>
    <w:rsid w:val="00CD4B1C"/>
    <w:rsid w:val="00CF2517"/>
    <w:rsid w:val="00D13CA4"/>
    <w:rsid w:val="00D7121E"/>
    <w:rsid w:val="00E00B5D"/>
    <w:rsid w:val="00E65341"/>
    <w:rsid w:val="00E803F0"/>
    <w:rsid w:val="00E9602E"/>
    <w:rsid w:val="00F2637F"/>
    <w:rsid w:val="00F30DD4"/>
    <w:rsid w:val="00FC693F"/>
    <w:rsid w:val="00FE0835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65B57"/>
  <w14:defaultImageDpi w14:val="300"/>
  <w15:docId w15:val="{6C9346AE-FF15-F041-9F2F-76A4C9B7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0474FC"/>
  </w:style>
  <w:style w:type="character" w:styleId="Marquedecommentaire">
    <w:name w:val="annotation reference"/>
    <w:basedOn w:val="Policepardfaut"/>
    <w:uiPriority w:val="99"/>
    <w:semiHidden/>
    <w:unhideWhenUsed/>
    <w:rsid w:val="005C25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25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25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25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253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53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E645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12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123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1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40F27-ACE1-46C9-89EB-B2ECE3F4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1581</Words>
  <Characters>10216</Characters>
  <Application>Microsoft Office Word</Application>
  <DocSecurity>0</DocSecurity>
  <Lines>141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Barreteau</cp:lastModifiedBy>
  <cp:revision>2</cp:revision>
  <cp:lastPrinted>2025-10-13T13:22:00Z</cp:lastPrinted>
  <dcterms:created xsi:type="dcterms:W3CDTF">2025-11-18T14:28:00Z</dcterms:created>
  <dcterms:modified xsi:type="dcterms:W3CDTF">2025-11-18T14:28:00Z</dcterms:modified>
  <cp:category/>
</cp:coreProperties>
</file>